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C93E" w14:textId="28B17A71" w:rsidR="00C230CF" w:rsidRPr="00F94366" w:rsidRDefault="00C230CF" w:rsidP="005B4D75">
      <w:pPr>
        <w:widowControl/>
        <w:snapToGrid w:val="0"/>
        <w:spacing w:line="360" w:lineRule="auto"/>
        <w:rPr>
          <w:rFonts w:cs="Times New Roman"/>
          <w:b/>
          <w:bCs/>
          <w:lang w:val="de-DE"/>
        </w:rPr>
      </w:pPr>
      <w:r w:rsidRPr="00F94366">
        <w:rPr>
          <w:rFonts w:cs="Times New Roman"/>
          <w:b/>
          <w:lang w:val="de-DE"/>
        </w:rPr>
        <w:t>附件</w:t>
      </w:r>
      <w:r w:rsidRPr="00F94366">
        <w:rPr>
          <w:rFonts w:cs="Times New Roman"/>
          <w:b/>
          <w:lang w:val="de-DE"/>
        </w:rPr>
        <w:t>1</w:t>
      </w:r>
    </w:p>
    <w:p w14:paraId="1D48E344" w14:textId="30D34431" w:rsidR="00716061" w:rsidRPr="00F94366" w:rsidRDefault="00C230CF" w:rsidP="005B4D75">
      <w:pPr>
        <w:widowControl/>
        <w:snapToGrid w:val="0"/>
        <w:spacing w:line="360" w:lineRule="auto"/>
        <w:rPr>
          <w:rFonts w:ascii="Georgia" w:hAnsi="Georgia"/>
          <w:b/>
          <w:bCs/>
          <w:lang w:val="de-DE"/>
        </w:rPr>
      </w:pPr>
      <w:r w:rsidRPr="00F94366">
        <w:rPr>
          <w:rFonts w:ascii="Georgia" w:hAnsi="Georgia" w:hint="eastAsia"/>
          <w:b/>
          <w:lang w:val="de-DE"/>
        </w:rPr>
        <w:t>慕</w:t>
      </w:r>
      <w:r w:rsidR="00D632AE" w:rsidRPr="00F94366">
        <w:rPr>
          <w:rFonts w:ascii="Georgia" w:hAnsi="Georgia" w:hint="eastAsia"/>
          <w:b/>
          <w:lang w:val="de-DE"/>
        </w:rPr>
        <w:t>尼黑</w:t>
      </w:r>
      <w:r w:rsidR="001E0A99" w:rsidRPr="00F94366">
        <w:rPr>
          <w:rFonts w:ascii="Georgia" w:hAnsi="Georgia" w:hint="eastAsia"/>
          <w:b/>
          <w:lang w:val="de-DE"/>
        </w:rPr>
        <w:t>州</w:t>
      </w:r>
      <w:r w:rsidR="007D2987" w:rsidRPr="00F94366">
        <w:rPr>
          <w:rFonts w:ascii="Georgia" w:hAnsi="Georgia" w:hint="eastAsia"/>
          <w:b/>
          <w:lang w:val="de-DE"/>
        </w:rPr>
        <w:t>第一</w:t>
      </w:r>
      <w:r w:rsidR="00D632AE" w:rsidRPr="00F94366">
        <w:rPr>
          <w:rFonts w:ascii="Georgia" w:hAnsi="Georgia" w:hint="eastAsia"/>
          <w:b/>
          <w:lang w:val="de-DE"/>
        </w:rPr>
        <w:t>法院</w:t>
      </w:r>
      <w:r w:rsidR="003A0C35" w:rsidRPr="00F94366">
        <w:rPr>
          <w:rFonts w:ascii="Georgia" w:hAnsi="Georgia" w:hint="eastAsia"/>
          <w:b/>
          <w:lang w:val="de-DE"/>
        </w:rPr>
        <w:t>：</w:t>
      </w:r>
    </w:p>
    <w:p w14:paraId="4D2D0B16" w14:textId="5C9DA23B" w:rsidR="005B4D75" w:rsidRPr="00F94366" w:rsidRDefault="00D632AE" w:rsidP="005B4D75">
      <w:pPr>
        <w:widowControl/>
        <w:snapToGrid w:val="0"/>
        <w:spacing w:line="360" w:lineRule="auto"/>
        <w:rPr>
          <w:rFonts w:ascii="Georgia" w:hAnsi="Georgia"/>
          <w:b/>
          <w:bCs/>
          <w:lang w:val="de-DE"/>
        </w:rPr>
      </w:pPr>
      <w:r w:rsidRPr="00F94366">
        <w:rPr>
          <w:rFonts w:ascii="Georgia" w:hAnsi="Georgia" w:hint="eastAsia"/>
          <w:b/>
          <w:lang w:val="de-DE"/>
        </w:rPr>
        <w:t>关于审理侵犯专利</w:t>
      </w:r>
      <w:r w:rsidR="005B4D75" w:rsidRPr="00F94366">
        <w:rPr>
          <w:rFonts w:ascii="Georgia" w:hAnsi="Georgia" w:hint="eastAsia"/>
          <w:b/>
          <w:lang w:val="de-DE"/>
        </w:rPr>
        <w:t>权</w:t>
      </w:r>
      <w:r w:rsidRPr="00F94366">
        <w:rPr>
          <w:rFonts w:ascii="Georgia" w:hAnsi="Georgia" w:hint="eastAsia"/>
          <w:b/>
          <w:lang w:val="de-DE"/>
        </w:rPr>
        <w:t>纠纷案件</w:t>
      </w:r>
      <w:r w:rsidR="00D47E90" w:rsidRPr="00F94366">
        <w:rPr>
          <w:rFonts w:ascii="Georgia" w:hAnsi="Georgia" w:hint="eastAsia"/>
          <w:b/>
          <w:lang w:val="de-DE"/>
        </w:rPr>
        <w:t>时</w:t>
      </w:r>
      <w:r w:rsidRPr="00F94366">
        <w:rPr>
          <w:rFonts w:ascii="Georgia" w:hAnsi="Georgia" w:hint="eastAsia"/>
          <w:b/>
          <w:lang w:val="de-DE"/>
        </w:rPr>
        <w:t>反垄断</w:t>
      </w:r>
      <w:r w:rsidR="005B4D75" w:rsidRPr="00F94366">
        <w:rPr>
          <w:rFonts w:ascii="Georgia" w:hAnsi="Georgia" w:hint="eastAsia"/>
          <w:b/>
          <w:lang w:val="de-DE"/>
        </w:rPr>
        <w:t>强制许可</w:t>
      </w:r>
      <w:r w:rsidRPr="00F94366">
        <w:rPr>
          <w:rFonts w:ascii="Georgia" w:hAnsi="Georgia" w:hint="eastAsia"/>
          <w:b/>
          <w:lang w:val="de-DE"/>
        </w:rPr>
        <w:t>抗辩</w:t>
      </w:r>
      <w:r w:rsidR="00D47E90" w:rsidRPr="00F94366">
        <w:rPr>
          <w:rFonts w:ascii="Georgia" w:hAnsi="Georgia" w:hint="eastAsia"/>
          <w:b/>
          <w:lang w:val="de-DE"/>
        </w:rPr>
        <w:t>适用</w:t>
      </w:r>
      <w:r w:rsidRPr="00F94366">
        <w:rPr>
          <w:rFonts w:ascii="Georgia" w:hAnsi="Georgia" w:hint="eastAsia"/>
          <w:b/>
          <w:lang w:val="de-DE"/>
        </w:rPr>
        <w:t>指南</w:t>
      </w:r>
    </w:p>
    <w:p w14:paraId="540F395C" w14:textId="7596217C" w:rsidR="000312F4" w:rsidRPr="00F94366" w:rsidRDefault="005B4D75" w:rsidP="00F94366">
      <w:pPr>
        <w:widowControl/>
        <w:snapToGrid w:val="0"/>
        <w:spacing w:line="360" w:lineRule="auto"/>
        <w:jc w:val="left"/>
        <w:rPr>
          <w:rFonts w:ascii="Georgia" w:hAnsi="Georgia"/>
          <w:b/>
          <w:bCs/>
          <w:lang w:val="en-GB"/>
        </w:rPr>
      </w:pPr>
      <w:r w:rsidRPr="00F94366">
        <w:rPr>
          <w:rFonts w:ascii="Georgia" w:hAnsi="Georgia" w:hint="eastAsia"/>
          <w:b/>
          <w:lang w:val="de-DE"/>
        </w:rPr>
        <w:t>（</w:t>
      </w:r>
      <w:r w:rsidRPr="00F94366">
        <w:rPr>
          <w:rFonts w:ascii="Georgia" w:hAnsi="Georgia" w:hint="eastAsia"/>
          <w:b/>
          <w:lang w:val="en-GB"/>
        </w:rPr>
        <w:t>二〇二〇年二月</w:t>
      </w:r>
      <w:r w:rsidR="00786877" w:rsidRPr="00F94366">
        <w:rPr>
          <w:rFonts w:ascii="Georgia" w:hAnsi="Georgia" w:hint="eastAsia"/>
          <w:b/>
          <w:lang w:val="en-GB"/>
        </w:rPr>
        <w:t>版</w:t>
      </w:r>
      <w:r w:rsidRPr="00F94366">
        <w:rPr>
          <w:rFonts w:ascii="Georgia" w:hAnsi="Georgia" w:hint="eastAsia"/>
          <w:b/>
          <w:lang w:val="en-GB"/>
        </w:rPr>
        <w:t>）</w:t>
      </w:r>
    </w:p>
    <w:p w14:paraId="1B8F94CD" w14:textId="1D36C979" w:rsidR="00E2650F" w:rsidRPr="00931219" w:rsidRDefault="00E2650F" w:rsidP="005B4D75">
      <w:pPr>
        <w:widowControl/>
        <w:snapToGrid w:val="0"/>
        <w:spacing w:line="360" w:lineRule="auto"/>
        <w:jc w:val="right"/>
        <w:rPr>
          <w:rFonts w:ascii="Georgia" w:hAnsi="Georgia"/>
          <w:bCs/>
          <w:lang w:val="en-GB"/>
        </w:rPr>
      </w:pPr>
    </w:p>
    <w:p w14:paraId="59DBF57B" w14:textId="4649B3C6" w:rsidR="00E2650F" w:rsidRPr="00931219" w:rsidRDefault="00E2650F" w:rsidP="00716061">
      <w:pPr>
        <w:widowControl/>
        <w:snapToGrid w:val="0"/>
        <w:spacing w:line="360" w:lineRule="auto"/>
        <w:ind w:right="460"/>
        <w:jc w:val="left"/>
        <w:rPr>
          <w:rFonts w:ascii="Georgia" w:hAnsi="Georgia"/>
          <w:bCs/>
          <w:lang w:val="en-GB"/>
        </w:rPr>
      </w:pPr>
      <w:r w:rsidRPr="00931219">
        <w:rPr>
          <w:rFonts w:ascii="Georgia" w:hAnsi="Georgia" w:hint="eastAsia"/>
          <w:lang w:val="en-GB"/>
        </w:rPr>
        <w:t>翻译：魏立舟（德国慕尼黑大学博士）</w:t>
      </w:r>
    </w:p>
    <w:p w14:paraId="2A4F2504" w14:textId="77777777" w:rsidR="00241084" w:rsidRPr="00931219" w:rsidRDefault="00241084" w:rsidP="00241084">
      <w:pPr>
        <w:widowControl/>
        <w:snapToGrid w:val="0"/>
        <w:spacing w:line="360" w:lineRule="auto"/>
        <w:jc w:val="left"/>
        <w:rPr>
          <w:rFonts w:ascii="Georgia" w:hAnsi="Georgia"/>
          <w:bCs/>
          <w:lang w:val="en-GB"/>
        </w:rPr>
      </w:pPr>
    </w:p>
    <w:p w14:paraId="19F7A331" w14:textId="3DEFD92A" w:rsidR="00241084" w:rsidRPr="00931219" w:rsidRDefault="00241084" w:rsidP="00241084">
      <w:pPr>
        <w:autoSpaceDE w:val="0"/>
        <w:autoSpaceDN w:val="0"/>
        <w:adjustRightInd w:val="0"/>
        <w:ind w:leftChars="400" w:left="960"/>
        <w:jc w:val="left"/>
        <w:rPr>
          <w:rFonts w:ascii="Heiti SC Medium" w:eastAsia="Heiti SC Medium" w:hAnsi="Heiti SC Medium" w:cs="AppleSystemUIFontBold"/>
          <w:bCs/>
        </w:rPr>
      </w:pPr>
      <w:r w:rsidRPr="00931219">
        <w:rPr>
          <w:rFonts w:ascii="Heiti SC Medium" w:eastAsia="Heiti SC Medium" w:hAnsi="Heiti SC Medium" w:cs="AppleSystemUIFontBold"/>
          <w:bCs/>
          <w:noProof/>
        </w:rPr>
        <mc:AlternateContent>
          <mc:Choice Requires="wps">
            <w:drawing>
              <wp:anchor distT="0" distB="0" distL="114300" distR="114300" simplePos="0" relativeHeight="251658752" behindDoc="1" locked="0" layoutInCell="1" allowOverlap="1" wp14:anchorId="356AFBD2" wp14:editId="3536963C">
                <wp:simplePos x="0" y="0"/>
                <wp:positionH relativeFrom="column">
                  <wp:posOffset>264459</wp:posOffset>
                </wp:positionH>
                <wp:positionV relativeFrom="paragraph">
                  <wp:posOffset>126141</wp:posOffset>
                </wp:positionV>
                <wp:extent cx="4968000" cy="3279600"/>
                <wp:effectExtent l="12700" t="12700" r="10795" b="10160"/>
                <wp:wrapNone/>
                <wp:docPr id="1" name="矩形 1"/>
                <wp:cNvGraphicFramePr/>
                <a:graphic xmlns:a="http://schemas.openxmlformats.org/drawingml/2006/main">
                  <a:graphicData uri="http://schemas.microsoft.com/office/word/2010/wordprocessingShape">
                    <wps:wsp>
                      <wps:cNvSpPr/>
                      <wps:spPr>
                        <a:xfrm>
                          <a:off x="0" y="0"/>
                          <a:ext cx="4968000" cy="3279600"/>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B3D2" id="矩形 1" o:spid="_x0000_s1026" style="position:absolute;left:0;text-align:left;margin-left:20.8pt;margin-top:9.95pt;width:391.2pt;height:2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" fillcolor="white [3201]" strokecolor="#4472c4 [3204]" strokeweight="1.5pt"/>
            </w:pict>
          </mc:Fallback>
        </mc:AlternateContent>
      </w:r>
    </w:p>
    <w:p w14:paraId="4D4937C7" w14:textId="1BF16A80"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I.</w:t>
      </w:r>
      <w:r w:rsidR="00E2650F" w:rsidRPr="00F94366">
        <w:rPr>
          <w:rFonts w:cs="Times New Roman"/>
          <w:b/>
          <w:sz w:val="21"/>
        </w:rPr>
        <w:t xml:space="preserve"> </w:t>
      </w:r>
      <w:r w:rsidRPr="00F94366">
        <w:rPr>
          <w:rFonts w:cs="Times New Roman"/>
          <w:b/>
          <w:sz w:val="21"/>
        </w:rPr>
        <w:t>适用范围</w:t>
      </w:r>
    </w:p>
    <w:p w14:paraId="0CEDB7EB" w14:textId="7E0AAF7E"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II.</w:t>
      </w:r>
      <w:r w:rsidR="00E2650F" w:rsidRPr="00F94366">
        <w:rPr>
          <w:rFonts w:cs="Times New Roman"/>
          <w:b/>
          <w:sz w:val="21"/>
        </w:rPr>
        <w:t xml:space="preserve"> </w:t>
      </w:r>
      <w:r w:rsidRPr="00F94366">
        <w:rPr>
          <w:rFonts w:cs="Times New Roman"/>
          <w:b/>
          <w:sz w:val="21"/>
        </w:rPr>
        <w:t>概览：诉讼前双方就许可合同的协商必要履行的步骤</w:t>
      </w:r>
    </w:p>
    <w:p w14:paraId="16B5780F" w14:textId="178F755D"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III.</w:t>
      </w:r>
      <w:r w:rsidR="00E2650F" w:rsidRPr="00F94366">
        <w:rPr>
          <w:rFonts w:cs="Times New Roman"/>
          <w:b/>
          <w:sz w:val="21"/>
        </w:rPr>
        <w:t xml:space="preserve"> </w:t>
      </w:r>
      <w:r w:rsidRPr="00F94366">
        <w:rPr>
          <w:rFonts w:cs="Times New Roman"/>
          <w:b/>
          <w:sz w:val="21"/>
        </w:rPr>
        <w:t>言辞辩论结束之前对未履行步骤的补救</w:t>
      </w:r>
    </w:p>
    <w:p w14:paraId="4ACB8814" w14:textId="77777777"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 xml:space="preserve">IV. </w:t>
      </w:r>
      <w:r w:rsidRPr="00F94366">
        <w:rPr>
          <w:rFonts w:cs="Times New Roman"/>
          <w:b/>
          <w:sz w:val="21"/>
        </w:rPr>
        <w:t>诉讼进程一览：</w:t>
      </w:r>
    </w:p>
    <w:p w14:paraId="580FB29E" w14:textId="77777777" w:rsidR="00241084" w:rsidRPr="00716061" w:rsidRDefault="00241084" w:rsidP="00241084">
      <w:pPr>
        <w:autoSpaceDE w:val="0"/>
        <w:autoSpaceDN w:val="0"/>
        <w:adjustRightInd w:val="0"/>
        <w:ind w:leftChars="450" w:left="1080"/>
        <w:jc w:val="left"/>
        <w:rPr>
          <w:rFonts w:cs="Times New Roman"/>
          <w:sz w:val="21"/>
        </w:rPr>
      </w:pPr>
      <w:r w:rsidRPr="00716061">
        <w:rPr>
          <w:rFonts w:cs="Times New Roman"/>
          <w:sz w:val="21"/>
        </w:rPr>
        <w:t xml:space="preserve">1. </w:t>
      </w:r>
      <w:r w:rsidRPr="00716061">
        <w:rPr>
          <w:rFonts w:cs="Times New Roman"/>
          <w:sz w:val="21"/>
        </w:rPr>
        <w:t>在什么条件下可以开始讨论反垄断抗辩</w:t>
      </w:r>
    </w:p>
    <w:p w14:paraId="3E94E21C" w14:textId="0931D6F2" w:rsidR="00241084" w:rsidRPr="00716061" w:rsidRDefault="00241084" w:rsidP="00241084">
      <w:pPr>
        <w:autoSpaceDE w:val="0"/>
        <w:autoSpaceDN w:val="0"/>
        <w:adjustRightInd w:val="0"/>
        <w:ind w:leftChars="450" w:left="1080"/>
        <w:jc w:val="left"/>
        <w:rPr>
          <w:rFonts w:cs="Times New Roman"/>
          <w:sz w:val="21"/>
        </w:rPr>
      </w:pPr>
      <w:r w:rsidRPr="00716061">
        <w:rPr>
          <w:rFonts w:cs="Times New Roman"/>
          <w:sz w:val="21"/>
        </w:rPr>
        <w:t xml:space="preserve">2. </w:t>
      </w:r>
      <w:r w:rsidRPr="00716061">
        <w:rPr>
          <w:rFonts w:cs="Times New Roman"/>
          <w:sz w:val="21"/>
        </w:rPr>
        <w:t>在什么条件下可以</w:t>
      </w:r>
      <w:proofErr w:type="gramStart"/>
      <w:r w:rsidRPr="00716061">
        <w:rPr>
          <w:rFonts w:cs="Times New Roman"/>
          <w:sz w:val="21"/>
        </w:rPr>
        <w:t>于首次</w:t>
      </w:r>
      <w:proofErr w:type="gramEnd"/>
      <w:r w:rsidRPr="00716061">
        <w:rPr>
          <w:rFonts w:cs="Times New Roman"/>
          <w:sz w:val="21"/>
        </w:rPr>
        <w:t>庭前会议即开始讨论反垄断抗辩</w:t>
      </w:r>
    </w:p>
    <w:p w14:paraId="70B33299" w14:textId="4981CAD0" w:rsidR="00241084" w:rsidRPr="00716061" w:rsidRDefault="00241084" w:rsidP="00241084">
      <w:pPr>
        <w:autoSpaceDE w:val="0"/>
        <w:autoSpaceDN w:val="0"/>
        <w:adjustRightInd w:val="0"/>
        <w:ind w:leftChars="450" w:left="1080"/>
        <w:jc w:val="left"/>
        <w:rPr>
          <w:rFonts w:cs="Times New Roman"/>
          <w:sz w:val="21"/>
        </w:rPr>
      </w:pPr>
      <w:r w:rsidRPr="00716061">
        <w:rPr>
          <w:rFonts w:cs="Times New Roman"/>
          <w:sz w:val="21"/>
        </w:rPr>
        <w:t xml:space="preserve">3. </w:t>
      </w:r>
      <w:r w:rsidRPr="00716061">
        <w:rPr>
          <w:rFonts w:cs="Times New Roman"/>
          <w:sz w:val="21"/>
        </w:rPr>
        <w:t>在什么条件下可以要求将停止妨害、召回和销毁侵权产品请求权追加入诉</w:t>
      </w:r>
    </w:p>
    <w:p w14:paraId="25A8FD09" w14:textId="77777777" w:rsidR="00241084" w:rsidRPr="00716061" w:rsidRDefault="00241084" w:rsidP="00241084">
      <w:pPr>
        <w:autoSpaceDE w:val="0"/>
        <w:autoSpaceDN w:val="0"/>
        <w:adjustRightInd w:val="0"/>
        <w:ind w:leftChars="450" w:left="1080"/>
        <w:jc w:val="left"/>
        <w:rPr>
          <w:rFonts w:cs="Times New Roman"/>
          <w:sz w:val="21"/>
        </w:rPr>
      </w:pPr>
      <w:r w:rsidRPr="00716061">
        <w:rPr>
          <w:rFonts w:cs="Times New Roman"/>
          <w:sz w:val="21"/>
        </w:rPr>
        <w:t xml:space="preserve">4. </w:t>
      </w:r>
      <w:r w:rsidRPr="00716061">
        <w:rPr>
          <w:rFonts w:cs="Times New Roman"/>
          <w:sz w:val="21"/>
        </w:rPr>
        <w:t>对诉讼双方陈述的一些具体要求</w:t>
      </w:r>
    </w:p>
    <w:p w14:paraId="5F001A02" w14:textId="77777777"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 xml:space="preserve">V. </w:t>
      </w:r>
      <w:r w:rsidRPr="00F94366">
        <w:rPr>
          <w:rFonts w:cs="Times New Roman"/>
          <w:b/>
          <w:sz w:val="21"/>
        </w:rPr>
        <w:t>在言辞辩论程序内外对保密请求的处理</w:t>
      </w:r>
    </w:p>
    <w:p w14:paraId="21F2B378" w14:textId="77777777"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 xml:space="preserve">VI. </w:t>
      </w:r>
      <w:r w:rsidRPr="00F94366">
        <w:rPr>
          <w:rFonts w:cs="Times New Roman"/>
          <w:b/>
          <w:sz w:val="21"/>
        </w:rPr>
        <w:t>介于首次庭前会议与开庭审理之间的时段</w:t>
      </w:r>
    </w:p>
    <w:p w14:paraId="76DBB5EB" w14:textId="77777777" w:rsidR="00241084" w:rsidRPr="00F94366" w:rsidRDefault="00241084" w:rsidP="00241084">
      <w:pPr>
        <w:autoSpaceDE w:val="0"/>
        <w:autoSpaceDN w:val="0"/>
        <w:adjustRightInd w:val="0"/>
        <w:ind w:leftChars="400" w:left="960"/>
        <w:jc w:val="left"/>
        <w:rPr>
          <w:rFonts w:cs="Times New Roman"/>
          <w:b/>
          <w:sz w:val="21"/>
        </w:rPr>
      </w:pPr>
      <w:r w:rsidRPr="00F94366">
        <w:rPr>
          <w:rFonts w:cs="Times New Roman"/>
          <w:b/>
          <w:sz w:val="21"/>
        </w:rPr>
        <w:t xml:space="preserve">VII. </w:t>
      </w:r>
      <w:r w:rsidRPr="00F94366">
        <w:rPr>
          <w:rFonts w:cs="Times New Roman"/>
          <w:b/>
          <w:sz w:val="21"/>
        </w:rPr>
        <w:t>合同条款</w:t>
      </w:r>
    </w:p>
    <w:p w14:paraId="7644DEF5" w14:textId="2E561F51" w:rsidR="00241084" w:rsidRPr="00931219" w:rsidRDefault="00241084" w:rsidP="005B4D75">
      <w:pPr>
        <w:widowControl/>
        <w:snapToGrid w:val="0"/>
        <w:spacing w:beforeLines="100" w:before="423" w:afterLines="100" w:after="423" w:line="360" w:lineRule="auto"/>
        <w:rPr>
          <w:rFonts w:ascii="Georgia" w:hAnsi="Georgia" w:cs="宋体"/>
          <w:color w:val="A6A6A6" w:themeColor="background1" w:themeShade="A6"/>
          <w:lang w:val="de-DE"/>
        </w:rPr>
      </w:pPr>
    </w:p>
    <w:p w14:paraId="2F320F28" w14:textId="54302BEF" w:rsidR="005B4D75" w:rsidRPr="00931219" w:rsidRDefault="000E79FB" w:rsidP="00F94366">
      <w:pPr>
        <w:widowControl/>
        <w:snapToGrid w:val="0"/>
        <w:spacing w:beforeLines="100" w:before="423" w:line="360" w:lineRule="auto"/>
        <w:rPr>
          <w:rFonts w:ascii="宋体" w:hAnsi="宋体" w:cs="宋体"/>
          <w:lang w:val="en-GB"/>
        </w:rPr>
      </w:pPr>
      <w:r w:rsidRPr="00931219">
        <w:rPr>
          <w:rFonts w:ascii="Georgia" w:hAnsi="Georgia" w:cs="宋体"/>
          <w:color w:val="A6A6A6" w:themeColor="background1" w:themeShade="A6"/>
          <w:lang w:val="de-DE"/>
        </w:rPr>
        <w:t xml:space="preserve">    </w:t>
      </w:r>
      <w:r w:rsidR="001E0A99" w:rsidRPr="00931219">
        <w:rPr>
          <w:rFonts w:ascii="宋体" w:hAnsi="宋体" w:cs="宋体" w:hint="eastAsia"/>
          <w:lang w:val="de-DE"/>
        </w:rPr>
        <w:t>根据欧盟法院在“华为诉中兴”（案号</w:t>
      </w:r>
      <w:r w:rsidR="001E0A99" w:rsidRPr="00931219">
        <w:rPr>
          <w:rFonts w:cs="Times New Roman"/>
          <w:lang w:val="de-DE"/>
        </w:rPr>
        <w:t>：</w:t>
      </w:r>
      <w:r w:rsidR="001E0A99" w:rsidRPr="00931219">
        <w:rPr>
          <w:rFonts w:cs="Times New Roman"/>
          <w:lang w:val="de-DE"/>
        </w:rPr>
        <w:t>C-170/13</w:t>
      </w:r>
      <w:r w:rsidR="001E0A99" w:rsidRPr="00931219">
        <w:rPr>
          <w:rFonts w:cs="Times New Roman"/>
          <w:lang w:val="de-DE"/>
        </w:rPr>
        <w:t>）中所提</w:t>
      </w:r>
      <w:r w:rsidR="001E0A99" w:rsidRPr="00931219">
        <w:rPr>
          <w:rFonts w:ascii="宋体" w:hAnsi="宋体" w:cs="宋体" w:hint="eastAsia"/>
          <w:lang w:val="de-DE"/>
        </w:rPr>
        <w:t>出的原则</w:t>
      </w:r>
      <w:r w:rsidR="00786877" w:rsidRPr="00931219">
        <w:rPr>
          <w:rFonts w:ascii="宋体" w:hAnsi="宋体" w:cs="宋体" w:hint="eastAsia"/>
          <w:lang w:val="de-DE"/>
        </w:rPr>
        <w:t>，特制定本指南以规范</w:t>
      </w:r>
      <w:r w:rsidR="005B4D75" w:rsidRPr="00931219">
        <w:rPr>
          <w:rFonts w:ascii="宋体" w:hAnsi="宋体" w:cs="宋体" w:hint="eastAsia"/>
          <w:lang w:val="de-DE"/>
        </w:rPr>
        <w:t>慕尼黑</w:t>
      </w:r>
      <w:r w:rsidR="001E0A99" w:rsidRPr="00931219">
        <w:rPr>
          <w:rFonts w:ascii="宋体" w:hAnsi="宋体" w:cs="宋体" w:hint="eastAsia"/>
          <w:lang w:val="de-DE"/>
        </w:rPr>
        <w:t>州</w:t>
      </w:r>
      <w:r w:rsidR="00FD5EC8" w:rsidRPr="00931219">
        <w:rPr>
          <w:rFonts w:ascii="宋体" w:hAnsi="宋体" w:cs="宋体" w:hint="eastAsia"/>
          <w:lang w:val="de-DE"/>
        </w:rPr>
        <w:t>第一</w:t>
      </w:r>
      <w:r w:rsidR="005B4D75" w:rsidRPr="00931219">
        <w:rPr>
          <w:rFonts w:ascii="宋体" w:hAnsi="宋体" w:cs="宋体" w:hint="eastAsia"/>
          <w:lang w:val="de-DE"/>
        </w:rPr>
        <w:t>法院</w:t>
      </w:r>
      <w:r w:rsidR="00786877" w:rsidRPr="00931219">
        <w:rPr>
          <w:rFonts w:ascii="宋体" w:hAnsi="宋体" w:cs="宋体" w:hint="eastAsia"/>
          <w:lang w:val="de-DE"/>
        </w:rPr>
        <w:t>下辖的两个</w:t>
      </w:r>
      <w:r w:rsidR="00520014" w:rsidRPr="00931219">
        <w:rPr>
          <w:rFonts w:ascii="宋体" w:hAnsi="宋体" w:cs="宋体" w:hint="eastAsia"/>
          <w:lang w:val="de-DE"/>
        </w:rPr>
        <w:t>专利</w:t>
      </w:r>
      <w:r w:rsidR="00417E11" w:rsidRPr="00931219">
        <w:rPr>
          <w:rFonts w:ascii="宋体" w:hAnsi="宋体" w:cs="宋体" w:hint="eastAsia"/>
          <w:lang w:val="de-DE"/>
        </w:rPr>
        <w:t>审判</w:t>
      </w:r>
      <w:r w:rsidR="00786877" w:rsidRPr="00931219">
        <w:rPr>
          <w:rFonts w:ascii="宋体" w:hAnsi="宋体" w:cs="宋体" w:hint="eastAsia"/>
          <w:lang w:val="de-DE"/>
        </w:rPr>
        <w:t>庭在审理侵犯专利权纠</w:t>
      </w:r>
      <w:proofErr w:type="gramStart"/>
      <w:r w:rsidR="00786877" w:rsidRPr="00931219">
        <w:rPr>
          <w:rFonts w:ascii="宋体" w:hAnsi="宋体" w:cs="宋体" w:hint="eastAsia"/>
          <w:lang w:val="de-DE"/>
        </w:rPr>
        <w:t>纷</w:t>
      </w:r>
      <w:proofErr w:type="gramEnd"/>
      <w:r w:rsidR="00786877" w:rsidRPr="00931219">
        <w:rPr>
          <w:rFonts w:ascii="宋体" w:hAnsi="宋体" w:cs="宋体" w:hint="eastAsia"/>
          <w:lang w:val="de-DE"/>
        </w:rPr>
        <w:t>案件时对反垄断强制许可抗辩（以下简称</w:t>
      </w:r>
      <w:r w:rsidR="00396DBE">
        <w:rPr>
          <w:rFonts w:ascii="宋体" w:hAnsi="宋体" w:cs="宋体" w:hint="eastAsia"/>
          <w:lang w:val="de-DE"/>
        </w:rPr>
        <w:t>“</w:t>
      </w:r>
      <w:r w:rsidR="00786877" w:rsidRPr="00931219">
        <w:rPr>
          <w:rFonts w:ascii="宋体" w:hAnsi="宋体" w:cs="宋体" w:hint="eastAsia"/>
          <w:lang w:val="de-DE"/>
        </w:rPr>
        <w:t>反垄断抗辩</w:t>
      </w:r>
      <w:r w:rsidR="00396DBE">
        <w:rPr>
          <w:rFonts w:ascii="宋体" w:hAnsi="宋体" w:cs="宋体" w:hint="eastAsia"/>
          <w:lang w:val="de-DE"/>
        </w:rPr>
        <w:t>”</w:t>
      </w:r>
      <w:r w:rsidR="00786877" w:rsidRPr="00931219">
        <w:rPr>
          <w:rFonts w:ascii="宋体" w:hAnsi="宋体" w:cs="宋体" w:hint="eastAsia"/>
          <w:lang w:val="de-DE"/>
        </w:rPr>
        <w:t>）的</w:t>
      </w:r>
      <w:r w:rsidR="00520014" w:rsidRPr="00931219">
        <w:rPr>
          <w:rFonts w:ascii="宋体" w:hAnsi="宋体" w:cs="宋体" w:hint="eastAsia"/>
          <w:lang w:val="de-DE"/>
        </w:rPr>
        <w:t>适</w:t>
      </w:r>
      <w:r w:rsidR="00786877" w:rsidRPr="00931219">
        <w:rPr>
          <w:rFonts w:ascii="宋体" w:hAnsi="宋体" w:cs="宋体" w:hint="eastAsia"/>
          <w:lang w:val="de-DE"/>
        </w:rPr>
        <w:t>用。本指南的</w:t>
      </w:r>
      <w:r w:rsidR="00010F40" w:rsidRPr="00931219">
        <w:rPr>
          <w:rFonts w:ascii="宋体" w:hAnsi="宋体" w:cs="宋体" w:hint="eastAsia"/>
          <w:lang w:val="de-DE"/>
        </w:rPr>
        <w:t>时间效力</w:t>
      </w:r>
      <w:r w:rsidR="000C1139" w:rsidRPr="00931219">
        <w:rPr>
          <w:rFonts w:ascii="宋体" w:hAnsi="宋体" w:cs="宋体" w:hint="eastAsia"/>
          <w:lang w:val="de-DE"/>
        </w:rPr>
        <w:t>截止至更新的版本发布之前</w:t>
      </w:r>
      <w:r w:rsidR="00417E11" w:rsidRPr="00931219">
        <w:rPr>
          <w:rFonts w:ascii="宋体" w:hAnsi="宋体" w:cs="宋体" w:hint="eastAsia"/>
          <w:lang w:val="de-DE"/>
        </w:rPr>
        <w:t>；除</w:t>
      </w:r>
      <w:r w:rsidR="00010F40" w:rsidRPr="00931219">
        <w:rPr>
          <w:rFonts w:ascii="宋体" w:hAnsi="宋体" w:cs="宋体" w:hint="eastAsia"/>
          <w:lang w:val="de-DE"/>
        </w:rPr>
        <w:t>专利权纠纷案件</w:t>
      </w:r>
      <w:r w:rsidR="00417E11" w:rsidRPr="00931219">
        <w:rPr>
          <w:rFonts w:ascii="宋体" w:hAnsi="宋体" w:cs="宋体" w:hint="eastAsia"/>
          <w:lang w:val="de-DE"/>
        </w:rPr>
        <w:t>以外，本指南亦同样适用于跟《实用新型法》和《集成电路布图设计保护法》有关的案件。</w:t>
      </w:r>
      <w:r w:rsidR="008647E4" w:rsidRPr="00931219">
        <w:rPr>
          <w:rFonts w:ascii="宋体" w:hAnsi="宋体" w:cs="宋体" w:hint="eastAsia"/>
          <w:lang w:val="en-GB"/>
        </w:rPr>
        <w:t>经法院事先通知，</w:t>
      </w:r>
      <w:r w:rsidR="00520014" w:rsidRPr="00931219">
        <w:rPr>
          <w:rFonts w:ascii="宋体" w:hAnsi="宋体" w:cs="宋体" w:hint="eastAsia"/>
          <w:lang w:val="de-DE"/>
        </w:rPr>
        <w:t>相关</w:t>
      </w:r>
      <w:r w:rsidR="00241084" w:rsidRPr="00931219">
        <w:rPr>
          <w:rFonts w:ascii="宋体" w:hAnsi="宋体" w:cs="宋体" w:hint="eastAsia"/>
          <w:lang w:val="de-DE"/>
        </w:rPr>
        <w:t>审判</w:t>
      </w:r>
      <w:r w:rsidR="00520014" w:rsidRPr="00931219">
        <w:rPr>
          <w:rFonts w:ascii="宋体" w:hAnsi="宋体" w:cs="宋体" w:hint="eastAsia"/>
          <w:lang w:val="de-DE"/>
        </w:rPr>
        <w:t>庭</w:t>
      </w:r>
      <w:r w:rsidR="007D2D5A" w:rsidRPr="00931219">
        <w:rPr>
          <w:rFonts w:ascii="宋体" w:hAnsi="宋体" w:cs="宋体" w:hint="eastAsia"/>
          <w:lang w:val="de-DE"/>
        </w:rPr>
        <w:t>可以</w:t>
      </w:r>
      <w:r w:rsidR="008647E4" w:rsidRPr="00931219">
        <w:rPr>
          <w:rFonts w:ascii="宋体" w:hAnsi="宋体" w:cs="宋体" w:hint="eastAsia"/>
          <w:lang w:val="de-DE"/>
        </w:rPr>
        <w:t>在</w:t>
      </w:r>
      <w:r w:rsidR="008647E4" w:rsidRPr="00931219">
        <w:rPr>
          <w:rFonts w:ascii="宋体" w:hAnsi="宋体" w:cs="宋体" w:hint="eastAsia"/>
          <w:lang w:val="en-GB"/>
        </w:rPr>
        <w:t>具体个案中</w:t>
      </w:r>
      <w:r w:rsidR="00EB531F">
        <w:rPr>
          <w:rFonts w:ascii="宋体" w:hAnsi="宋体" w:cs="宋体" w:hint="eastAsia"/>
          <w:lang w:val="en-GB"/>
        </w:rPr>
        <w:t>偏离</w:t>
      </w:r>
      <w:r w:rsidR="003F4274" w:rsidRPr="00931219">
        <w:rPr>
          <w:rFonts w:ascii="宋体" w:hAnsi="宋体" w:cs="宋体" w:hint="eastAsia"/>
          <w:lang w:val="en-GB"/>
        </w:rPr>
        <w:t>本指南</w:t>
      </w:r>
      <w:r w:rsidR="007D2D5A" w:rsidRPr="00931219">
        <w:rPr>
          <w:rFonts w:ascii="宋体" w:hAnsi="宋体" w:cs="宋体" w:hint="eastAsia"/>
          <w:lang w:val="en-GB"/>
        </w:rPr>
        <w:t>的规定。本指南</w:t>
      </w:r>
      <w:r w:rsidR="0063323B" w:rsidRPr="00931219">
        <w:rPr>
          <w:rFonts w:ascii="宋体" w:hAnsi="宋体" w:cs="宋体" w:hint="eastAsia"/>
          <w:lang w:val="en-GB"/>
        </w:rPr>
        <w:t>的</w:t>
      </w:r>
      <w:r w:rsidR="007D2D5A" w:rsidRPr="00931219">
        <w:rPr>
          <w:rFonts w:ascii="宋体" w:hAnsi="宋体" w:cs="宋体" w:hint="eastAsia"/>
          <w:lang w:val="en-GB"/>
        </w:rPr>
        <w:t>德语版</w:t>
      </w:r>
      <w:r w:rsidR="0063323B" w:rsidRPr="00931219">
        <w:rPr>
          <w:rFonts w:ascii="宋体" w:hAnsi="宋体" w:cs="宋体" w:hint="eastAsia"/>
          <w:lang w:val="en-GB"/>
        </w:rPr>
        <w:t>本为官方版本</w:t>
      </w:r>
      <w:r w:rsidR="007D2D5A" w:rsidRPr="00931219">
        <w:rPr>
          <w:rFonts w:ascii="宋体" w:hAnsi="宋体" w:cs="宋体" w:hint="eastAsia"/>
          <w:lang w:val="en-GB"/>
        </w:rPr>
        <w:t>。</w:t>
      </w:r>
    </w:p>
    <w:p w14:paraId="2B9B5382" w14:textId="77777777" w:rsidR="00FD5EC8" w:rsidRPr="00931219" w:rsidRDefault="00540B38" w:rsidP="00FD5EC8">
      <w:pPr>
        <w:widowControl/>
        <w:snapToGrid w:val="0"/>
        <w:spacing w:beforeLines="50" w:before="211" w:afterLines="50" w:after="211" w:line="360" w:lineRule="auto"/>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【译者注】</w:t>
      </w:r>
    </w:p>
    <w:p w14:paraId="18AA49B9" w14:textId="21AF9664" w:rsidR="00FD5EC8" w:rsidRPr="00F94366" w:rsidRDefault="00844CF1" w:rsidP="00F94366">
      <w:pPr>
        <w:widowControl/>
        <w:snapToGrid w:val="0"/>
        <w:spacing w:beforeLines="50" w:before="211" w:afterLines="50" w:after="211" w:line="300" w:lineRule="auto"/>
        <w:ind w:firstLineChars="200" w:firstLine="480"/>
        <w:rPr>
          <w:rFonts w:cs="Times New Roman"/>
          <w:color w:val="2E74B5" w:themeColor="accent5" w:themeShade="BF"/>
          <w:lang w:val="de-DE"/>
        </w:rPr>
      </w:pPr>
      <w:r w:rsidRPr="00F94366">
        <w:rPr>
          <w:rFonts w:cs="Times New Roman"/>
          <w:color w:val="2E74B5" w:themeColor="accent5" w:themeShade="BF"/>
          <w:lang w:val="de-DE"/>
        </w:rPr>
        <w:lastRenderedPageBreak/>
        <w:t>a.</w:t>
      </w:r>
      <w:r w:rsidR="00540B38" w:rsidRPr="00F94366">
        <w:rPr>
          <w:rFonts w:cs="Times New Roman"/>
          <w:color w:val="2E74B5" w:themeColor="accent5" w:themeShade="BF"/>
          <w:lang w:val="en-GB"/>
        </w:rPr>
        <w:t>本指南的发布单位为</w:t>
      </w:r>
      <w:r w:rsidR="00540B38" w:rsidRPr="00F94366">
        <w:rPr>
          <w:rFonts w:cs="Times New Roman"/>
          <w:color w:val="2E74B5" w:themeColor="accent5" w:themeShade="BF"/>
          <w:lang w:val="de-DE"/>
        </w:rPr>
        <w:t>Landesgericht</w:t>
      </w:r>
      <w:r w:rsidR="00540B38" w:rsidRPr="00F94366">
        <w:rPr>
          <w:rFonts w:cs="Times New Roman"/>
          <w:color w:val="2E74B5" w:themeColor="accent5" w:themeShade="BF"/>
          <w:lang w:val="en-GB"/>
        </w:rPr>
        <w:t xml:space="preserve"> </w:t>
      </w:r>
      <w:r w:rsidR="00540B38" w:rsidRPr="00F94366">
        <w:rPr>
          <w:rFonts w:cs="Times New Roman"/>
          <w:color w:val="2E74B5" w:themeColor="accent5" w:themeShade="BF"/>
          <w:lang w:val="de-DE"/>
        </w:rPr>
        <w:t>München I</w:t>
      </w:r>
      <w:r w:rsidR="00540B38" w:rsidRPr="00F94366">
        <w:rPr>
          <w:rFonts w:cs="Times New Roman"/>
          <w:color w:val="2E74B5" w:themeColor="accent5" w:themeShade="BF"/>
          <w:lang w:val="en-GB"/>
        </w:rPr>
        <w:t>,</w:t>
      </w:r>
      <w:r w:rsidR="00540B38" w:rsidRPr="00F94366">
        <w:rPr>
          <w:rFonts w:cs="Times New Roman"/>
          <w:color w:val="2E74B5" w:themeColor="accent5" w:themeShade="BF"/>
          <w:lang w:val="en-GB"/>
        </w:rPr>
        <w:t>此处翻译为慕尼黑州第一法院。德国普通法院共分为四级，从低到高分别为</w:t>
      </w:r>
      <w:proofErr w:type="spellStart"/>
      <w:r w:rsidR="00540B38" w:rsidRPr="00F94366">
        <w:rPr>
          <w:rFonts w:cs="Times New Roman"/>
          <w:color w:val="2E74B5" w:themeColor="accent5" w:themeShade="BF"/>
          <w:lang w:val="en-GB"/>
        </w:rPr>
        <w:t>Amtsgericht</w:t>
      </w:r>
      <w:proofErr w:type="spellEnd"/>
      <w:r w:rsidR="00540B38" w:rsidRPr="00F94366">
        <w:rPr>
          <w:rFonts w:cs="Times New Roman"/>
          <w:color w:val="2E74B5" w:themeColor="accent5" w:themeShade="BF"/>
          <w:lang w:val="en-GB"/>
        </w:rPr>
        <w:t>(</w:t>
      </w:r>
      <w:r w:rsidR="00540B38" w:rsidRPr="00F94366">
        <w:rPr>
          <w:rFonts w:cs="Times New Roman"/>
          <w:color w:val="2E74B5" w:themeColor="accent5" w:themeShade="BF"/>
          <w:lang w:val="de-DE"/>
        </w:rPr>
        <w:t>初级法院</w:t>
      </w:r>
      <w:r w:rsidR="00540B38" w:rsidRPr="00F94366">
        <w:rPr>
          <w:rFonts w:cs="Times New Roman"/>
          <w:color w:val="2E74B5" w:themeColor="accent5" w:themeShade="BF"/>
          <w:lang w:val="de-DE"/>
        </w:rPr>
        <w:t>)</w:t>
      </w:r>
      <w:r w:rsidR="00540B38" w:rsidRPr="00F94366">
        <w:rPr>
          <w:rFonts w:cs="Times New Roman"/>
          <w:color w:val="2E74B5" w:themeColor="accent5" w:themeShade="BF"/>
          <w:lang w:val="de-DE"/>
        </w:rPr>
        <w:t>、</w:t>
      </w:r>
      <w:r w:rsidR="00540B38" w:rsidRPr="00F94366">
        <w:rPr>
          <w:rFonts w:cs="Times New Roman"/>
          <w:color w:val="2E74B5" w:themeColor="accent5" w:themeShade="BF"/>
          <w:lang w:val="de-DE"/>
        </w:rPr>
        <w:t>Landesgericht</w:t>
      </w:r>
      <w:r w:rsidR="00540B38" w:rsidRPr="00F94366">
        <w:rPr>
          <w:rFonts w:cs="Times New Roman"/>
          <w:color w:val="2E74B5" w:themeColor="accent5" w:themeShade="BF"/>
          <w:lang w:val="de-DE"/>
        </w:rPr>
        <w:t>（州法院）、</w:t>
      </w:r>
      <w:r w:rsidR="00540B38" w:rsidRPr="00F94366">
        <w:rPr>
          <w:rFonts w:cs="Times New Roman"/>
          <w:color w:val="2E74B5" w:themeColor="accent5" w:themeShade="BF"/>
          <w:lang w:val="de-DE"/>
        </w:rPr>
        <w:t>Oberlandesgericht</w:t>
      </w:r>
      <w:r w:rsidR="00540B38" w:rsidRPr="00F94366">
        <w:rPr>
          <w:rFonts w:cs="Times New Roman"/>
          <w:color w:val="2E74B5" w:themeColor="accent5" w:themeShade="BF"/>
          <w:lang w:val="de-DE"/>
        </w:rPr>
        <w:t>（州高等法院）和</w:t>
      </w:r>
      <w:r w:rsidR="00540B38" w:rsidRPr="00F94366">
        <w:rPr>
          <w:rFonts w:cs="Times New Roman"/>
          <w:color w:val="2E74B5" w:themeColor="accent5" w:themeShade="BF"/>
          <w:lang w:val="de-DE"/>
        </w:rPr>
        <w:t>Bundesgerichtshof</w:t>
      </w:r>
      <w:r w:rsidR="00540B38" w:rsidRPr="00F94366">
        <w:rPr>
          <w:rFonts w:cs="Times New Roman"/>
          <w:color w:val="2E74B5" w:themeColor="accent5" w:themeShade="BF"/>
          <w:lang w:val="de-DE"/>
        </w:rPr>
        <w:t>（一般可译为联邦最高法院）。关于</w:t>
      </w:r>
      <w:r w:rsidR="00540B38" w:rsidRPr="00F94366">
        <w:rPr>
          <w:rFonts w:cs="Times New Roman"/>
          <w:color w:val="2E74B5" w:themeColor="accent5" w:themeShade="BF"/>
          <w:lang w:val="de-DE"/>
        </w:rPr>
        <w:t>Landesgericht</w:t>
      </w:r>
      <w:r w:rsidR="00540B38" w:rsidRPr="00F94366">
        <w:rPr>
          <w:rFonts w:cs="Times New Roman"/>
          <w:color w:val="2E74B5" w:themeColor="accent5" w:themeShade="BF"/>
          <w:lang w:val="de-DE"/>
        </w:rPr>
        <w:t>的翻译，许多英文材料翻译为</w:t>
      </w:r>
      <w:r w:rsidR="00540B38" w:rsidRPr="00F94366">
        <w:rPr>
          <w:rFonts w:cs="Times New Roman"/>
          <w:color w:val="2E74B5" w:themeColor="accent5" w:themeShade="BF"/>
          <w:lang w:val="de-DE"/>
        </w:rPr>
        <w:t>regional court</w:t>
      </w:r>
      <w:r w:rsidR="00540B38" w:rsidRPr="00F94366">
        <w:rPr>
          <w:rFonts w:cs="Times New Roman"/>
          <w:color w:val="2E74B5" w:themeColor="accent5" w:themeShade="BF"/>
          <w:lang w:val="de-DE"/>
        </w:rPr>
        <w:t>，因此不少中文翻译将这级法院译为地方法院，但为了与</w:t>
      </w:r>
      <w:r w:rsidR="00540B38" w:rsidRPr="00F94366">
        <w:rPr>
          <w:rFonts w:cs="Times New Roman"/>
          <w:color w:val="2E74B5" w:themeColor="accent5" w:themeShade="BF"/>
          <w:lang w:val="de-DE"/>
        </w:rPr>
        <w:t>Amtsgericht</w:t>
      </w:r>
      <w:r w:rsidR="00540B38" w:rsidRPr="00F94366">
        <w:rPr>
          <w:rFonts w:cs="Times New Roman"/>
          <w:color w:val="2E74B5" w:themeColor="accent5" w:themeShade="BF"/>
          <w:lang w:val="de-DE"/>
        </w:rPr>
        <w:t>进行区分，建议直译为州法院更合适</w:t>
      </w:r>
      <w:r w:rsidR="00FD5EC8" w:rsidRPr="00F94366">
        <w:rPr>
          <w:rFonts w:cs="Times New Roman"/>
          <w:color w:val="2E74B5" w:themeColor="accent5" w:themeShade="BF"/>
          <w:lang w:val="de-DE"/>
        </w:rPr>
        <w:t>。</w:t>
      </w:r>
    </w:p>
    <w:p w14:paraId="2678FF61" w14:textId="5D2B3DDF" w:rsidR="00540B38" w:rsidRPr="00F94366" w:rsidRDefault="00844CF1" w:rsidP="00F94366">
      <w:pPr>
        <w:widowControl/>
        <w:snapToGrid w:val="0"/>
        <w:spacing w:beforeLines="50" w:before="211" w:afterLines="50" w:after="211" w:line="300" w:lineRule="auto"/>
        <w:ind w:firstLineChars="200" w:firstLine="480"/>
        <w:rPr>
          <w:rFonts w:cs="Times New Roman"/>
          <w:color w:val="2E74B5" w:themeColor="accent5" w:themeShade="BF"/>
          <w:lang w:val="de-DE"/>
        </w:rPr>
      </w:pPr>
      <w:r w:rsidRPr="00F94366">
        <w:rPr>
          <w:rFonts w:cs="Times New Roman"/>
          <w:color w:val="2E74B5" w:themeColor="accent5" w:themeShade="BF"/>
          <w:lang w:val="de-DE"/>
        </w:rPr>
        <w:t>b.</w:t>
      </w:r>
      <w:r w:rsidR="00FD5EC8" w:rsidRPr="00F94366">
        <w:rPr>
          <w:rFonts w:cs="Times New Roman"/>
          <w:color w:val="2E74B5" w:themeColor="accent5" w:themeShade="BF"/>
          <w:lang w:val="de-DE"/>
        </w:rPr>
        <w:t>此外，慕尼黑州第一法院下辖的两个专利审判庭指第七庭和第二十一庭。</w:t>
      </w:r>
    </w:p>
    <w:p w14:paraId="6DC996B2" w14:textId="77777777" w:rsidR="00417E11" w:rsidRPr="00F94366" w:rsidRDefault="007D2D5A" w:rsidP="00054383">
      <w:pPr>
        <w:pStyle w:val="1"/>
        <w:rPr>
          <w:rFonts w:ascii="Times New Roman" w:hAnsi="Times New Roman" w:cs="Times New Roman"/>
        </w:rPr>
      </w:pPr>
      <w:bookmarkStart w:id="0" w:name="_Toc33138364"/>
      <w:r w:rsidRPr="00F94366">
        <w:rPr>
          <w:rFonts w:ascii="Times New Roman" w:hAnsi="Times New Roman" w:cs="Times New Roman"/>
        </w:rPr>
        <w:t xml:space="preserve">I. </w:t>
      </w:r>
      <w:r w:rsidR="00417E11" w:rsidRPr="00F94366">
        <w:rPr>
          <w:rFonts w:ascii="Times New Roman" w:hAnsi="Times New Roman" w:cs="Times New Roman"/>
        </w:rPr>
        <w:t>适用范围</w:t>
      </w:r>
      <w:bookmarkEnd w:id="0"/>
    </w:p>
    <w:p w14:paraId="11DD770E" w14:textId="571261B7" w:rsidR="000B4C13" w:rsidRPr="00931219" w:rsidRDefault="00A43F90" w:rsidP="000312F4">
      <w:pPr>
        <w:widowControl/>
        <w:snapToGrid w:val="0"/>
        <w:spacing w:afterLines="100" w:after="423" w:line="360" w:lineRule="auto"/>
        <w:rPr>
          <w:rFonts w:ascii="宋体" w:hAnsi="宋体" w:cs="宋体"/>
          <w:lang w:val="de-DE"/>
        </w:rPr>
      </w:pPr>
      <w:r>
        <w:rPr>
          <w:rFonts w:ascii="Georgia" w:hAnsi="Georgia" w:cs="宋体"/>
          <w:color w:val="A6A6A6" w:themeColor="background1" w:themeShade="A6"/>
          <w:lang w:val="de-DE"/>
        </w:rPr>
        <w:t xml:space="preserve">    </w:t>
      </w:r>
      <w:r w:rsidR="007D2D5A" w:rsidRPr="00931219">
        <w:rPr>
          <w:rFonts w:ascii="宋体" w:hAnsi="宋体" w:cs="宋体" w:hint="eastAsia"/>
          <w:lang w:val="de-DE"/>
        </w:rPr>
        <w:t>欧盟法院的“华为诉中兴”判决</w:t>
      </w:r>
      <w:r w:rsidR="00135D7F" w:rsidRPr="00931219">
        <w:rPr>
          <w:rFonts w:ascii="宋体" w:hAnsi="宋体" w:cs="宋体" w:hint="eastAsia"/>
          <w:lang w:val="en-GB"/>
        </w:rPr>
        <w:t>以及</w:t>
      </w:r>
      <w:r w:rsidR="007D2D5A" w:rsidRPr="00931219">
        <w:rPr>
          <w:rFonts w:ascii="宋体" w:hAnsi="宋体" w:cs="宋体" w:hint="eastAsia"/>
          <w:lang w:val="de-DE"/>
        </w:rPr>
        <w:t>本指南</w:t>
      </w:r>
      <w:r w:rsidR="00E14CB4" w:rsidRPr="00931219">
        <w:rPr>
          <w:rFonts w:ascii="宋体" w:hAnsi="宋体" w:cs="宋体" w:hint="eastAsia"/>
          <w:lang w:val="de-DE"/>
        </w:rPr>
        <w:t>的规定</w:t>
      </w:r>
      <w:r w:rsidR="00D941D9">
        <w:rPr>
          <w:rFonts w:ascii="宋体" w:hAnsi="宋体" w:cs="宋体" w:hint="eastAsia"/>
          <w:lang w:val="de-DE"/>
        </w:rPr>
        <w:t>只</w:t>
      </w:r>
      <w:r w:rsidR="00135D7F" w:rsidRPr="00931219">
        <w:rPr>
          <w:rFonts w:ascii="宋体" w:hAnsi="宋体" w:cs="宋体" w:hint="eastAsia"/>
          <w:lang w:val="de-DE"/>
        </w:rPr>
        <w:t>适用于</w:t>
      </w:r>
      <w:r w:rsidR="00164A38" w:rsidRPr="00931219">
        <w:rPr>
          <w:rFonts w:ascii="宋体" w:hAnsi="宋体" w:cs="宋体" w:hint="eastAsia"/>
          <w:lang w:val="de-DE"/>
        </w:rPr>
        <w:t>专利权</w:t>
      </w:r>
      <w:r w:rsidR="00E14CB4" w:rsidRPr="00931219">
        <w:rPr>
          <w:rFonts w:ascii="宋体" w:hAnsi="宋体" w:cs="宋体" w:hint="eastAsia"/>
          <w:lang w:val="de-DE"/>
        </w:rPr>
        <w:t>人</w:t>
      </w:r>
      <w:r w:rsidR="007D2D5A" w:rsidRPr="00931219">
        <w:rPr>
          <w:rFonts w:ascii="宋体" w:hAnsi="宋体" w:cs="宋体" w:hint="eastAsia"/>
          <w:lang w:val="de-DE"/>
        </w:rPr>
        <w:t>基于标准必要专利受侵犯而</w:t>
      </w:r>
      <w:r w:rsidR="00135D7F" w:rsidRPr="00931219">
        <w:rPr>
          <w:rFonts w:ascii="宋体" w:hAnsi="宋体" w:cs="宋体" w:hint="eastAsia"/>
          <w:lang w:val="de-DE"/>
        </w:rPr>
        <w:t>诉请</w:t>
      </w:r>
      <w:r w:rsidR="00E14CB4" w:rsidRPr="00931219">
        <w:rPr>
          <w:rFonts w:ascii="宋体" w:hAnsi="宋体" w:cs="宋体" w:hint="eastAsia"/>
          <w:lang w:val="de-DE"/>
        </w:rPr>
        <w:t>停止侵害、召回以及销毁侵权产品</w:t>
      </w:r>
      <w:r w:rsidR="00135D7F" w:rsidRPr="00931219">
        <w:rPr>
          <w:rFonts w:ascii="宋体" w:hAnsi="宋体" w:cs="宋体" w:hint="eastAsia"/>
          <w:lang w:val="de-DE"/>
        </w:rPr>
        <w:t>的情形</w:t>
      </w:r>
      <w:r w:rsidR="00E14CB4" w:rsidRPr="00931219">
        <w:rPr>
          <w:rFonts w:ascii="宋体" w:hAnsi="宋体" w:cs="宋体" w:hint="eastAsia"/>
          <w:lang w:val="de-DE"/>
        </w:rPr>
        <w:t>，只要该标准必要专利使权利人获得了相关市场的支配地位</w:t>
      </w:r>
      <w:r w:rsidR="00E53020" w:rsidRPr="00931219">
        <w:rPr>
          <w:rFonts w:ascii="宋体" w:hAnsi="宋体" w:cs="宋体" w:hint="eastAsia"/>
          <w:lang w:val="de-DE"/>
        </w:rPr>
        <w:t>并且权利人或者其前手出让人已经向相关标准必要专利组织</w:t>
      </w:r>
      <w:proofErr w:type="gramStart"/>
      <w:r w:rsidR="00E53020" w:rsidRPr="00931219">
        <w:rPr>
          <w:rFonts w:ascii="宋体" w:hAnsi="宋体" w:cs="宋体" w:hint="eastAsia"/>
          <w:lang w:val="de-DE"/>
        </w:rPr>
        <w:t>作出</w:t>
      </w:r>
      <w:proofErr w:type="gramEnd"/>
      <w:r w:rsidR="00E53020" w:rsidRPr="00931219">
        <w:rPr>
          <w:rFonts w:ascii="宋体" w:hAnsi="宋体" w:cs="宋体" w:hint="eastAsia"/>
          <w:lang w:val="de-DE"/>
        </w:rPr>
        <w:t>了公平、合理和无歧视的许可承诺（以下简称</w:t>
      </w:r>
      <w:r w:rsidR="004F6760">
        <w:rPr>
          <w:rFonts w:ascii="宋体" w:hAnsi="宋体" w:cs="宋体" w:hint="eastAsia"/>
          <w:lang w:val="de-DE"/>
        </w:rPr>
        <w:t>“</w:t>
      </w:r>
      <w:r w:rsidR="00E53020" w:rsidRPr="004F6760">
        <w:rPr>
          <w:rFonts w:cs="Times New Roman"/>
          <w:lang w:val="de-DE"/>
        </w:rPr>
        <w:t>FRAND</w:t>
      </w:r>
      <w:r w:rsidR="00E53020" w:rsidRPr="004F6760">
        <w:rPr>
          <w:rFonts w:cs="Times New Roman"/>
          <w:lang w:val="de-DE"/>
        </w:rPr>
        <w:t>承</w:t>
      </w:r>
      <w:r w:rsidR="00E53020" w:rsidRPr="00931219">
        <w:rPr>
          <w:rFonts w:ascii="宋体" w:hAnsi="宋体" w:cs="宋体" w:hint="eastAsia"/>
          <w:lang w:val="de-DE"/>
        </w:rPr>
        <w:t>诺</w:t>
      </w:r>
      <w:r w:rsidR="004F6760">
        <w:rPr>
          <w:rFonts w:ascii="宋体" w:hAnsi="宋体" w:cs="宋体" w:hint="eastAsia"/>
          <w:lang w:val="de-DE"/>
        </w:rPr>
        <w:t>”</w:t>
      </w:r>
      <w:r w:rsidR="00E53020" w:rsidRPr="00931219">
        <w:rPr>
          <w:rFonts w:ascii="宋体" w:hAnsi="宋体" w:cs="宋体" w:hint="eastAsia"/>
          <w:lang w:val="de-DE"/>
        </w:rPr>
        <w:t>）。该</w:t>
      </w:r>
      <w:r w:rsidR="00E53020" w:rsidRPr="00F94366">
        <w:rPr>
          <w:rFonts w:cs="Times New Roman"/>
          <w:lang w:val="de-DE"/>
        </w:rPr>
        <w:t>FRAND</w:t>
      </w:r>
      <w:r w:rsidR="00E53020" w:rsidRPr="00F94366">
        <w:rPr>
          <w:rFonts w:cs="Times New Roman"/>
          <w:lang w:val="de-DE"/>
        </w:rPr>
        <w:t>承诺不因专利权的转让而失效。至于其他</w:t>
      </w:r>
      <w:r w:rsidR="00D941D9">
        <w:rPr>
          <w:rFonts w:cs="Times New Roman" w:hint="eastAsia"/>
          <w:lang w:val="de-DE"/>
        </w:rPr>
        <w:t>情形</w:t>
      </w:r>
      <w:r w:rsidR="00E53020" w:rsidRPr="00F94366">
        <w:rPr>
          <w:rFonts w:cs="Times New Roman"/>
          <w:lang w:val="de-DE"/>
        </w:rPr>
        <w:t>，以欧盟法院的</w:t>
      </w:r>
      <w:r w:rsidR="00455778">
        <w:rPr>
          <w:rFonts w:cs="Times New Roman" w:hint="eastAsia"/>
          <w:lang w:val="de-DE"/>
        </w:rPr>
        <w:t>“</w:t>
      </w:r>
      <w:r w:rsidR="00E53020" w:rsidRPr="00F94366">
        <w:rPr>
          <w:rFonts w:cs="Times New Roman"/>
          <w:lang w:val="en-GB"/>
        </w:rPr>
        <w:t>IMS/Health</w:t>
      </w:r>
      <w:r w:rsidR="00455778">
        <w:rPr>
          <w:rFonts w:cs="Times New Roman" w:hint="eastAsia"/>
          <w:lang w:val="en-GB"/>
        </w:rPr>
        <w:t>”</w:t>
      </w:r>
      <w:r w:rsidR="00E53020" w:rsidRPr="00F94366">
        <w:rPr>
          <w:rFonts w:cs="Times New Roman"/>
          <w:lang w:val="en-GB"/>
        </w:rPr>
        <w:t>判决</w:t>
      </w:r>
      <w:r w:rsidR="00E53020" w:rsidRPr="00F94366">
        <w:rPr>
          <w:rFonts w:cs="Times New Roman"/>
          <w:lang w:val="de-DE"/>
        </w:rPr>
        <w:t xml:space="preserve"> </w:t>
      </w:r>
      <w:r w:rsidR="00E53020" w:rsidRPr="00F94366">
        <w:rPr>
          <w:rFonts w:cs="Times New Roman"/>
          <w:lang w:val="de-DE"/>
        </w:rPr>
        <w:t>（案号：</w:t>
      </w:r>
      <w:r w:rsidR="00E53020" w:rsidRPr="00F94366">
        <w:rPr>
          <w:rFonts w:cs="Times New Roman"/>
          <w:lang w:val="de-DE"/>
        </w:rPr>
        <w:t>C-418/01</w:t>
      </w:r>
      <w:r w:rsidR="00E53020" w:rsidRPr="00F94366">
        <w:rPr>
          <w:rFonts w:cs="Times New Roman"/>
          <w:lang w:val="de-DE"/>
        </w:rPr>
        <w:t>）和德国联邦最高法院</w:t>
      </w:r>
      <w:r w:rsidR="00455778">
        <w:rPr>
          <w:rFonts w:cs="Times New Roman" w:hint="eastAsia"/>
          <w:lang w:val="de-DE"/>
        </w:rPr>
        <w:t>“</w:t>
      </w:r>
      <w:r w:rsidR="00E53020" w:rsidRPr="00F94366">
        <w:rPr>
          <w:rFonts w:cs="Times New Roman"/>
          <w:lang w:val="de-DE"/>
        </w:rPr>
        <w:t>Standard-Spundfass</w:t>
      </w:r>
      <w:r w:rsidR="00455778">
        <w:rPr>
          <w:rFonts w:cs="Times New Roman" w:hint="eastAsia"/>
          <w:lang w:val="de-DE"/>
        </w:rPr>
        <w:t>”（</w:t>
      </w:r>
      <w:r w:rsidR="00B90F30" w:rsidRPr="00F94366">
        <w:rPr>
          <w:rFonts w:cs="Times New Roman"/>
          <w:lang w:val="de-DE"/>
        </w:rPr>
        <w:t>案号：</w:t>
      </w:r>
      <w:r w:rsidR="00B90F30" w:rsidRPr="00F94366">
        <w:rPr>
          <w:rFonts w:cs="Times New Roman"/>
          <w:lang w:val="de-DE"/>
        </w:rPr>
        <w:t>KZR 40/02</w:t>
      </w:r>
      <w:r w:rsidR="00455778">
        <w:rPr>
          <w:rFonts w:cs="Times New Roman" w:hint="eastAsia"/>
          <w:lang w:val="de-DE"/>
        </w:rPr>
        <w:t>）</w:t>
      </w:r>
      <w:r w:rsidR="00E53020" w:rsidRPr="00F94366">
        <w:rPr>
          <w:rFonts w:cs="Times New Roman"/>
          <w:lang w:val="de-DE"/>
        </w:rPr>
        <w:t>和</w:t>
      </w:r>
      <w:r w:rsidR="00455778">
        <w:rPr>
          <w:rFonts w:cs="Times New Roman" w:hint="eastAsia"/>
          <w:lang w:val="de-DE"/>
        </w:rPr>
        <w:t>“</w:t>
      </w:r>
      <w:r w:rsidR="00E53020" w:rsidRPr="00F94366">
        <w:rPr>
          <w:rFonts w:cs="Times New Roman"/>
          <w:lang w:val="de-DE"/>
        </w:rPr>
        <w:t>Orange-Book</w:t>
      </w:r>
      <w:r w:rsidR="00455778">
        <w:rPr>
          <w:rFonts w:cs="Times New Roman" w:hint="eastAsia"/>
          <w:lang w:val="de-DE"/>
        </w:rPr>
        <w:t>”（</w:t>
      </w:r>
      <w:r w:rsidR="00B90F30" w:rsidRPr="00F94366">
        <w:rPr>
          <w:rFonts w:cs="Times New Roman"/>
          <w:lang w:val="de-DE"/>
        </w:rPr>
        <w:t>案号</w:t>
      </w:r>
      <w:r w:rsidR="00B90F30" w:rsidRPr="00F94366">
        <w:rPr>
          <w:rFonts w:cs="Times New Roman"/>
          <w:lang w:val="de-DE"/>
        </w:rPr>
        <w:t xml:space="preserve"> KZR 39/06</w:t>
      </w:r>
      <w:r w:rsidR="00455778">
        <w:rPr>
          <w:rFonts w:cs="Times New Roman" w:hint="eastAsia"/>
          <w:lang w:val="de-DE"/>
        </w:rPr>
        <w:t>）</w:t>
      </w:r>
      <w:r w:rsidR="00E53020" w:rsidRPr="00F94366">
        <w:rPr>
          <w:rFonts w:cs="Times New Roman"/>
          <w:lang w:val="de-DE"/>
        </w:rPr>
        <w:t>判</w:t>
      </w:r>
      <w:r w:rsidR="00E53020" w:rsidRPr="00931219">
        <w:rPr>
          <w:rFonts w:ascii="宋体" w:hAnsi="宋体" w:cs="宋体" w:hint="eastAsia"/>
          <w:lang w:val="de-DE"/>
        </w:rPr>
        <w:t>决为准。</w:t>
      </w:r>
    </w:p>
    <w:p w14:paraId="3F1F9AFD" w14:textId="1BA1121F" w:rsidR="00D47E90" w:rsidRPr="00F94366" w:rsidRDefault="00D47E90" w:rsidP="00054383">
      <w:pPr>
        <w:pStyle w:val="1"/>
        <w:rPr>
          <w:rFonts w:ascii="Times New Roman" w:hAnsi="Times New Roman" w:cs="Times New Roman"/>
        </w:rPr>
      </w:pPr>
      <w:bookmarkStart w:id="1" w:name="_Toc33138365"/>
      <w:r w:rsidRPr="00F94366">
        <w:rPr>
          <w:rFonts w:ascii="Times New Roman" w:hAnsi="Times New Roman" w:cs="Times New Roman"/>
        </w:rPr>
        <w:t xml:space="preserve">II. </w:t>
      </w:r>
      <w:r w:rsidRPr="00F94366">
        <w:rPr>
          <w:rFonts w:ascii="Times New Roman" w:hAnsi="Times New Roman" w:cs="Times New Roman"/>
        </w:rPr>
        <w:t>概览</w:t>
      </w:r>
      <w:r w:rsidR="007572BC" w:rsidRPr="00F94366">
        <w:rPr>
          <w:rFonts w:ascii="Times New Roman" w:hAnsi="Times New Roman" w:cs="Times New Roman"/>
        </w:rPr>
        <w:t>：</w:t>
      </w:r>
      <w:r w:rsidR="00135D7F" w:rsidRPr="00F94366">
        <w:rPr>
          <w:rFonts w:ascii="Times New Roman" w:hAnsi="Times New Roman" w:cs="Times New Roman"/>
        </w:rPr>
        <w:t>诉讼前</w:t>
      </w:r>
      <w:r w:rsidR="007572BC" w:rsidRPr="00F94366">
        <w:rPr>
          <w:rFonts w:ascii="Times New Roman" w:hAnsi="Times New Roman" w:cs="Times New Roman"/>
        </w:rPr>
        <w:t>双方就许可合同</w:t>
      </w:r>
      <w:r w:rsidR="00135D7F" w:rsidRPr="00F94366">
        <w:rPr>
          <w:rFonts w:ascii="Times New Roman" w:hAnsi="Times New Roman" w:cs="Times New Roman"/>
        </w:rPr>
        <w:t>的协商</w:t>
      </w:r>
      <w:r w:rsidR="00164A38" w:rsidRPr="00F94366">
        <w:rPr>
          <w:rFonts w:ascii="Times New Roman" w:hAnsi="Times New Roman" w:cs="Times New Roman"/>
        </w:rPr>
        <w:t>必须</w:t>
      </w:r>
      <w:r w:rsidR="0095534C" w:rsidRPr="00F94366">
        <w:rPr>
          <w:rFonts w:ascii="Times New Roman" w:hAnsi="Times New Roman" w:cs="Times New Roman"/>
        </w:rPr>
        <w:t>履行的步骤</w:t>
      </w:r>
      <w:bookmarkEnd w:id="1"/>
    </w:p>
    <w:p w14:paraId="4D3CD8E2" w14:textId="371FECBC" w:rsidR="007572BC" w:rsidRPr="00931219" w:rsidRDefault="00A43F90" w:rsidP="000312F4">
      <w:pPr>
        <w:widowControl/>
        <w:snapToGrid w:val="0"/>
        <w:spacing w:afterLines="100" w:after="423" w:line="360" w:lineRule="auto"/>
        <w:rPr>
          <w:rFonts w:ascii="Georgia" w:hAnsi="Georgia" w:cs="宋体"/>
          <w:lang w:val="de-DE"/>
        </w:rPr>
      </w:pPr>
      <w:r>
        <w:rPr>
          <w:rFonts w:ascii="Georgia" w:hAnsi="Georgia" w:cs="宋体"/>
          <w:color w:val="A6A6A6" w:themeColor="background1" w:themeShade="A6"/>
          <w:lang w:val="de-DE"/>
        </w:rPr>
        <w:t xml:space="preserve">    </w:t>
      </w:r>
      <w:r w:rsidR="007572BC" w:rsidRPr="00931219">
        <w:rPr>
          <w:rFonts w:ascii="Georgia" w:hAnsi="Georgia" w:cs="宋体" w:hint="eastAsia"/>
          <w:lang w:val="de-DE"/>
        </w:rPr>
        <w:t>根据欧盟法院在“华为诉中兴”中所确立的原则，本院认为在专利权人提起诉讼</w:t>
      </w:r>
      <w:r w:rsidR="007572BC" w:rsidRPr="00931219">
        <w:rPr>
          <w:rFonts w:ascii="Georgia" w:hAnsi="Georgia" w:cs="宋体" w:hint="eastAsia"/>
          <w:u w:val="single"/>
          <w:lang w:val="de-DE"/>
        </w:rPr>
        <w:t>之前</w:t>
      </w:r>
      <w:r w:rsidR="007572BC" w:rsidRPr="00931219">
        <w:rPr>
          <w:rFonts w:ascii="Georgia" w:hAnsi="Georgia" w:cs="宋体" w:hint="eastAsia"/>
          <w:lang w:val="de-DE"/>
        </w:rPr>
        <w:t>，专利权人和相关专利使用人双方应该完成如下步骤：</w:t>
      </w:r>
    </w:p>
    <w:p w14:paraId="7C8E9E3C" w14:textId="04BBCB9A" w:rsidR="007572BC" w:rsidRPr="00F94366" w:rsidRDefault="00A43F90" w:rsidP="008E69B4">
      <w:pPr>
        <w:widowControl/>
        <w:snapToGrid w:val="0"/>
        <w:spacing w:line="360" w:lineRule="auto"/>
        <w:rPr>
          <w:rFonts w:cs="Times New Roman"/>
          <w:lang w:val="de-DE"/>
        </w:rPr>
      </w:pPr>
      <w:r>
        <w:rPr>
          <w:rFonts w:ascii="Georgia" w:hAnsi="Georgia"/>
          <w:color w:val="A6A6A6" w:themeColor="background1" w:themeShade="A6"/>
          <w:lang w:val="de-DE"/>
        </w:rPr>
        <w:t xml:space="preserve">    </w:t>
      </w:r>
      <w:r w:rsidR="007572BC" w:rsidRPr="00F94366">
        <w:rPr>
          <w:rFonts w:cs="Times New Roman"/>
          <w:lang w:val="de-DE"/>
        </w:rPr>
        <w:t>1</w:t>
      </w:r>
      <w:r w:rsidR="007572BC" w:rsidRPr="00F94366">
        <w:rPr>
          <w:rFonts w:cs="Times New Roman"/>
          <w:lang w:val="de-DE"/>
        </w:rPr>
        <w:t>）专利权人</w:t>
      </w:r>
      <w:r w:rsidR="00124311" w:rsidRPr="00F94366">
        <w:rPr>
          <w:rFonts w:cs="Times New Roman"/>
          <w:lang w:val="de-DE"/>
        </w:rPr>
        <w:t>必须</w:t>
      </w:r>
      <w:r w:rsidR="007572BC" w:rsidRPr="00F94366">
        <w:rPr>
          <w:rFonts w:cs="Times New Roman"/>
          <w:lang w:val="de-DE"/>
        </w:rPr>
        <w:t>向使用人</w:t>
      </w:r>
      <w:r w:rsidR="00124311" w:rsidRPr="00F94366">
        <w:rPr>
          <w:rFonts w:cs="Times New Roman"/>
          <w:lang w:val="de-DE"/>
        </w:rPr>
        <w:t>发侵权警告信，告知被侵权的标准必要专利以及具体的侵权行为（警告信中所指明的被侵权专利</w:t>
      </w:r>
      <w:r w:rsidR="007379DC" w:rsidRPr="00F94366">
        <w:rPr>
          <w:rFonts w:cs="Times New Roman"/>
          <w:lang w:val="de-DE"/>
        </w:rPr>
        <w:t>至少</w:t>
      </w:r>
      <w:r w:rsidR="00124311" w:rsidRPr="00F94366">
        <w:rPr>
          <w:rFonts w:cs="Times New Roman"/>
          <w:lang w:val="de-DE"/>
        </w:rPr>
        <w:t>应包含嗣后诉争专利）</w:t>
      </w:r>
      <w:r w:rsidR="007379DC" w:rsidRPr="00F94366">
        <w:rPr>
          <w:rFonts w:cs="Times New Roman"/>
          <w:lang w:val="de-DE"/>
        </w:rPr>
        <w:t>；</w:t>
      </w:r>
    </w:p>
    <w:p w14:paraId="0659614E" w14:textId="77777777" w:rsidR="00124311" w:rsidRPr="00931219" w:rsidRDefault="00124311" w:rsidP="00F94366">
      <w:pPr>
        <w:widowControl/>
        <w:snapToGrid w:val="0"/>
        <w:spacing w:line="360" w:lineRule="auto"/>
        <w:ind w:firstLineChars="200" w:firstLine="480"/>
        <w:rPr>
          <w:rFonts w:ascii="Georgia" w:hAnsi="Georgia" w:cs="宋体"/>
          <w:lang w:val="de-DE"/>
        </w:rPr>
      </w:pPr>
      <w:r w:rsidRPr="00F94366">
        <w:rPr>
          <w:rFonts w:cs="Times New Roman"/>
          <w:lang w:val="de-DE"/>
        </w:rPr>
        <w:t>2</w:t>
      </w:r>
      <w:r w:rsidRPr="00F94366">
        <w:rPr>
          <w:rFonts w:cs="Times New Roman"/>
          <w:lang w:val="de-DE"/>
        </w:rPr>
        <w:t>）</w:t>
      </w:r>
      <w:r w:rsidRPr="00931219">
        <w:rPr>
          <w:rFonts w:ascii="Georgia" w:hAnsi="Georgia" w:cs="宋体" w:hint="eastAsia"/>
          <w:lang w:val="de-DE"/>
        </w:rPr>
        <w:t>使用人必须向专利权人表达愿意就许可合同</w:t>
      </w:r>
      <w:r w:rsidR="008E69B4" w:rsidRPr="00931219">
        <w:rPr>
          <w:rFonts w:ascii="Georgia" w:hAnsi="Georgia" w:cs="宋体" w:hint="eastAsia"/>
          <w:lang w:val="de-DE"/>
        </w:rPr>
        <w:t>的缔结</w:t>
      </w:r>
      <w:r w:rsidRPr="00931219">
        <w:rPr>
          <w:rFonts w:ascii="Georgia" w:hAnsi="Georgia" w:cs="宋体" w:hint="eastAsia"/>
          <w:lang w:val="de-DE"/>
        </w:rPr>
        <w:t>进行协商的意愿</w:t>
      </w:r>
      <w:r w:rsidR="007379DC" w:rsidRPr="00931219">
        <w:rPr>
          <w:rFonts w:ascii="Georgia" w:hAnsi="Georgia" w:cs="宋体" w:hint="eastAsia"/>
          <w:lang w:val="de-DE"/>
        </w:rPr>
        <w:t>（许可意愿中至少应包含嗣后诉争专利）</w:t>
      </w:r>
      <w:r w:rsidRPr="00931219">
        <w:rPr>
          <w:rFonts w:ascii="Georgia" w:hAnsi="Georgia" w:cs="宋体" w:hint="eastAsia"/>
          <w:lang w:val="de-DE"/>
        </w:rPr>
        <w:t>，但</w:t>
      </w:r>
      <w:r w:rsidR="008E69B4" w:rsidRPr="00931219">
        <w:rPr>
          <w:rFonts w:ascii="Georgia" w:hAnsi="Georgia" w:cs="宋体" w:hint="eastAsia"/>
          <w:lang w:val="de-DE"/>
        </w:rPr>
        <w:t>就</w:t>
      </w:r>
      <w:r w:rsidR="007379DC" w:rsidRPr="00931219">
        <w:rPr>
          <w:rFonts w:ascii="Georgia" w:hAnsi="Georgia" w:cs="宋体" w:hint="eastAsia"/>
          <w:lang w:val="de-DE"/>
        </w:rPr>
        <w:t>相关专利</w:t>
      </w:r>
      <w:r w:rsidR="008E69B4" w:rsidRPr="00931219">
        <w:rPr>
          <w:rFonts w:ascii="Georgia" w:hAnsi="Georgia" w:cs="宋体" w:hint="eastAsia"/>
          <w:lang w:val="de-DE"/>
        </w:rPr>
        <w:t>的有效性</w:t>
      </w:r>
      <w:r w:rsidR="007379DC" w:rsidRPr="00931219">
        <w:rPr>
          <w:rFonts w:ascii="Georgia" w:hAnsi="Georgia" w:cs="宋体" w:hint="eastAsia"/>
          <w:lang w:val="de-DE"/>
        </w:rPr>
        <w:t>以及</w:t>
      </w:r>
      <w:r w:rsidR="008E69B4" w:rsidRPr="00931219">
        <w:rPr>
          <w:rFonts w:ascii="Georgia" w:hAnsi="Georgia" w:cs="宋体"/>
          <w:lang w:val="en-GB"/>
        </w:rPr>
        <w:t>/</w:t>
      </w:r>
      <w:r w:rsidR="008E69B4" w:rsidRPr="00931219">
        <w:rPr>
          <w:rFonts w:ascii="Georgia" w:hAnsi="Georgia" w:cs="宋体" w:hint="eastAsia"/>
          <w:lang w:val="de-DE"/>
        </w:rPr>
        <w:t>或者使用人是否真实</w:t>
      </w:r>
      <w:r w:rsidR="007379DC" w:rsidRPr="00931219">
        <w:rPr>
          <w:rFonts w:ascii="Georgia" w:hAnsi="Georgia" w:cs="宋体" w:hint="eastAsia"/>
          <w:lang w:val="de-DE"/>
        </w:rPr>
        <w:t>使用相关专利</w:t>
      </w:r>
      <w:r w:rsidR="008E69B4" w:rsidRPr="00931219">
        <w:rPr>
          <w:rFonts w:ascii="Georgia" w:hAnsi="Georgia" w:cs="宋体" w:hint="eastAsia"/>
          <w:lang w:val="de-DE"/>
        </w:rPr>
        <w:t>，使用人可以</w:t>
      </w:r>
      <w:r w:rsidR="007379DC" w:rsidRPr="00931219">
        <w:rPr>
          <w:rFonts w:ascii="Georgia" w:hAnsi="Georgia" w:cs="宋体" w:hint="eastAsia"/>
          <w:lang w:val="de-DE"/>
        </w:rPr>
        <w:t>保留</w:t>
      </w:r>
      <w:r w:rsidR="008E69B4" w:rsidRPr="00931219">
        <w:rPr>
          <w:rFonts w:ascii="Georgia" w:hAnsi="Georgia" w:cs="宋体" w:hint="eastAsia"/>
          <w:lang w:val="de-DE"/>
        </w:rPr>
        <w:t>在今后对这些</w:t>
      </w:r>
      <w:r w:rsidR="007379DC" w:rsidRPr="00931219">
        <w:rPr>
          <w:rFonts w:ascii="Georgia" w:hAnsi="Georgia" w:cs="宋体" w:hint="eastAsia"/>
          <w:lang w:val="de-DE"/>
        </w:rPr>
        <w:t>问题提出异议的权利；</w:t>
      </w:r>
    </w:p>
    <w:p w14:paraId="2DF6AA67" w14:textId="77777777" w:rsidR="007379DC" w:rsidRPr="00F94366" w:rsidRDefault="007379DC" w:rsidP="00F94366">
      <w:pPr>
        <w:widowControl/>
        <w:snapToGrid w:val="0"/>
        <w:spacing w:line="360" w:lineRule="auto"/>
        <w:ind w:firstLineChars="200" w:firstLine="480"/>
        <w:rPr>
          <w:rFonts w:cs="Times New Roman"/>
          <w:lang w:val="de-DE"/>
        </w:rPr>
      </w:pPr>
      <w:r w:rsidRPr="00F94366">
        <w:rPr>
          <w:rFonts w:cs="Times New Roman"/>
          <w:lang w:val="de-DE"/>
        </w:rPr>
        <w:t>3</w:t>
      </w:r>
      <w:r w:rsidRPr="00F94366">
        <w:rPr>
          <w:rFonts w:cs="Times New Roman"/>
          <w:lang w:val="de-DE"/>
        </w:rPr>
        <w:t>）专利权人必须向使用人提出一个具体的、书面的要约，该要约应符合</w:t>
      </w:r>
      <w:r w:rsidRPr="00F94366">
        <w:rPr>
          <w:rFonts w:cs="Times New Roman"/>
          <w:lang w:val="de-DE"/>
        </w:rPr>
        <w:t>FRAND</w:t>
      </w:r>
      <w:r w:rsidRPr="00F94366">
        <w:rPr>
          <w:rFonts w:cs="Times New Roman"/>
          <w:lang w:val="de-DE"/>
        </w:rPr>
        <w:t>原则（要约所涉及的专利中至少应包含嗣后诉争专利）；</w:t>
      </w:r>
    </w:p>
    <w:p w14:paraId="6AF40CAE" w14:textId="77777777" w:rsidR="008E69B4" w:rsidRPr="00F94366" w:rsidRDefault="007379DC" w:rsidP="00F94366">
      <w:pPr>
        <w:widowControl/>
        <w:snapToGrid w:val="0"/>
        <w:spacing w:line="360" w:lineRule="auto"/>
        <w:ind w:firstLineChars="200" w:firstLine="480"/>
        <w:rPr>
          <w:rFonts w:cs="Times New Roman"/>
          <w:lang w:val="de-DE"/>
        </w:rPr>
      </w:pPr>
      <w:r w:rsidRPr="00F94366">
        <w:rPr>
          <w:rFonts w:cs="Times New Roman"/>
          <w:lang w:val="de-DE"/>
        </w:rPr>
        <w:lastRenderedPageBreak/>
        <w:t>4</w:t>
      </w:r>
      <w:r w:rsidRPr="00F94366">
        <w:rPr>
          <w:rFonts w:cs="Times New Roman"/>
          <w:lang w:val="de-DE"/>
        </w:rPr>
        <w:t>）如要约未被接受：使用人必须</w:t>
      </w:r>
      <w:r w:rsidR="008E69B4" w:rsidRPr="00F94366">
        <w:rPr>
          <w:rFonts w:cs="Times New Roman"/>
          <w:lang w:val="de-DE"/>
        </w:rPr>
        <w:t>向专利权人通过书面形式发出一个符合</w:t>
      </w:r>
      <w:r w:rsidR="008E69B4" w:rsidRPr="00F94366">
        <w:rPr>
          <w:rFonts w:cs="Times New Roman"/>
          <w:lang w:val="de-DE"/>
        </w:rPr>
        <w:t>FRAND</w:t>
      </w:r>
      <w:r w:rsidR="008E69B4" w:rsidRPr="00F94366">
        <w:rPr>
          <w:rFonts w:cs="Times New Roman"/>
          <w:lang w:val="de-DE"/>
        </w:rPr>
        <w:t>原则的反要约（该反要约所涉及的专利中至少应包含嗣后诉争专利），同样的，就相关专利的有效性以及</w:t>
      </w:r>
      <w:r w:rsidR="008E69B4" w:rsidRPr="00F94366">
        <w:rPr>
          <w:rFonts w:cs="Times New Roman"/>
          <w:lang w:val="en-GB"/>
        </w:rPr>
        <w:t>/</w:t>
      </w:r>
      <w:r w:rsidR="008E69B4" w:rsidRPr="00F94366">
        <w:rPr>
          <w:rFonts w:cs="Times New Roman"/>
          <w:lang w:val="de-DE"/>
        </w:rPr>
        <w:t>或者使用人是否真实使用相关专利，使用人可以保留在今后对这些问题提出异议的权利；</w:t>
      </w:r>
    </w:p>
    <w:p w14:paraId="2F975231" w14:textId="77777777" w:rsidR="007379DC" w:rsidRPr="00F94366" w:rsidRDefault="008E69B4" w:rsidP="00F94366">
      <w:pPr>
        <w:widowControl/>
        <w:snapToGrid w:val="0"/>
        <w:spacing w:line="360" w:lineRule="auto"/>
        <w:ind w:firstLineChars="200" w:firstLine="480"/>
        <w:rPr>
          <w:rFonts w:cs="Times New Roman"/>
          <w:lang w:val="de-DE"/>
        </w:rPr>
      </w:pPr>
      <w:r w:rsidRPr="00F94366">
        <w:rPr>
          <w:rFonts w:cs="Times New Roman"/>
          <w:lang w:val="de-DE"/>
        </w:rPr>
        <w:t>5</w:t>
      </w:r>
      <w:r w:rsidRPr="00F94366">
        <w:rPr>
          <w:rFonts w:cs="Times New Roman"/>
          <w:lang w:val="de-DE"/>
        </w:rPr>
        <w:t>）如</w:t>
      </w:r>
      <w:r w:rsidR="003362DF" w:rsidRPr="00F94366">
        <w:rPr>
          <w:rFonts w:cs="Times New Roman"/>
          <w:lang w:val="de-DE"/>
        </w:rPr>
        <w:t>反</w:t>
      </w:r>
      <w:r w:rsidRPr="00F94366">
        <w:rPr>
          <w:rFonts w:cs="Times New Roman"/>
          <w:lang w:val="de-DE"/>
        </w:rPr>
        <w:t>要约未被接受：使用人应该披露自己对相关专利的使用情况并提供适当担保；</w:t>
      </w:r>
    </w:p>
    <w:p w14:paraId="5B38F9B1" w14:textId="063C48C7" w:rsidR="008E69B4" w:rsidRPr="00931219" w:rsidRDefault="008E69B4" w:rsidP="00F94366">
      <w:pPr>
        <w:widowControl/>
        <w:snapToGrid w:val="0"/>
        <w:spacing w:afterLines="100" w:after="423" w:line="360" w:lineRule="auto"/>
        <w:ind w:firstLineChars="200" w:firstLine="480"/>
        <w:rPr>
          <w:rFonts w:ascii="Georgia" w:hAnsi="Georgia" w:cs="宋体"/>
          <w:lang w:val="de-DE"/>
        </w:rPr>
      </w:pPr>
      <w:r w:rsidRPr="00F94366">
        <w:rPr>
          <w:rFonts w:cs="Times New Roman"/>
          <w:lang w:val="de-DE"/>
        </w:rPr>
        <w:t>6</w:t>
      </w:r>
      <w:r w:rsidRPr="00F94366">
        <w:rPr>
          <w:rFonts w:cs="Times New Roman"/>
          <w:lang w:val="de-DE"/>
        </w:rPr>
        <w:t>）</w:t>
      </w:r>
      <w:r w:rsidR="003362DF" w:rsidRPr="00F94366">
        <w:rPr>
          <w:rFonts w:cs="Times New Roman"/>
          <w:lang w:val="de-DE"/>
        </w:rPr>
        <w:t>双方未</w:t>
      </w:r>
      <w:r w:rsidR="003362DF" w:rsidRPr="00931219">
        <w:rPr>
          <w:rFonts w:ascii="Georgia" w:hAnsi="Georgia" w:cs="宋体" w:hint="eastAsia"/>
          <w:lang w:val="de-DE"/>
        </w:rPr>
        <w:t>达成一致，可以在双方同意的情况下，</w:t>
      </w:r>
      <w:r w:rsidR="002A7439" w:rsidRPr="00931219">
        <w:rPr>
          <w:rFonts w:ascii="Georgia" w:hAnsi="Georgia" w:cs="宋体" w:hint="eastAsia"/>
          <w:lang w:val="de-DE"/>
        </w:rPr>
        <w:t>选择</w:t>
      </w:r>
      <w:r w:rsidR="003362DF" w:rsidRPr="00931219">
        <w:rPr>
          <w:rFonts w:ascii="Georgia" w:hAnsi="Georgia" w:cs="宋体" w:hint="eastAsia"/>
          <w:lang w:val="de-DE"/>
        </w:rPr>
        <w:t>交由独立的第三方来决定合适的许可</w:t>
      </w:r>
      <w:r w:rsidR="00D941D9">
        <w:rPr>
          <w:rFonts w:ascii="Georgia" w:hAnsi="Georgia" w:cs="宋体" w:hint="eastAsia"/>
          <w:lang w:val="de-DE"/>
        </w:rPr>
        <w:t>费</w:t>
      </w:r>
      <w:r w:rsidR="000B4C13" w:rsidRPr="00931219">
        <w:rPr>
          <w:rFonts w:ascii="Georgia" w:hAnsi="Georgia" w:cs="宋体" w:hint="eastAsia"/>
          <w:lang w:val="de-DE"/>
        </w:rPr>
        <w:t>条件</w:t>
      </w:r>
      <w:r w:rsidR="003362DF" w:rsidRPr="00931219">
        <w:rPr>
          <w:rFonts w:ascii="Georgia" w:hAnsi="Georgia" w:cs="宋体" w:hint="eastAsia"/>
          <w:lang w:val="de-DE"/>
        </w:rPr>
        <w:t>。</w:t>
      </w:r>
    </w:p>
    <w:p w14:paraId="654E2088" w14:textId="5422095F" w:rsidR="00F94D81" w:rsidRPr="00F94366" w:rsidRDefault="006D64B5" w:rsidP="00F94366">
      <w:pPr>
        <w:widowControl/>
        <w:snapToGrid w:val="0"/>
        <w:spacing w:afterLines="100" w:after="423" w:line="360" w:lineRule="auto"/>
        <w:rPr>
          <w:rFonts w:cs="Times New Roman"/>
          <w:lang w:val="de-DE"/>
        </w:rPr>
      </w:pPr>
      <w:r>
        <w:rPr>
          <w:rFonts w:ascii="Georgia" w:hAnsi="Georgia" w:cs="宋体"/>
          <w:color w:val="A6A6A6" w:themeColor="background1" w:themeShade="A6"/>
          <w:lang w:val="de-DE"/>
        </w:rPr>
        <w:t xml:space="preserve">    </w:t>
      </w:r>
      <w:r w:rsidR="003362DF" w:rsidRPr="00931219">
        <w:rPr>
          <w:rFonts w:ascii="宋体" w:hAnsi="宋体" w:cs="宋体" w:hint="eastAsia"/>
          <w:lang w:val="de-DE"/>
        </w:rPr>
        <w:t>关</w:t>
      </w:r>
      <w:r w:rsidR="003362DF" w:rsidRPr="00F94366">
        <w:rPr>
          <w:rFonts w:cs="Times New Roman"/>
          <w:lang w:val="de-DE"/>
        </w:rPr>
        <w:t>于</w:t>
      </w:r>
      <w:r w:rsidR="003362DF" w:rsidRPr="00F94366">
        <w:rPr>
          <w:rFonts w:cs="Times New Roman"/>
          <w:lang w:val="de-DE"/>
        </w:rPr>
        <w:t>3</w:t>
      </w:r>
      <w:r w:rsidR="003362DF" w:rsidRPr="00F94366">
        <w:rPr>
          <w:rFonts w:cs="Times New Roman"/>
          <w:lang w:val="de-DE"/>
        </w:rPr>
        <w:t>）</w:t>
      </w:r>
      <w:r w:rsidR="00696343" w:rsidRPr="00F94366">
        <w:rPr>
          <w:rFonts w:cs="Times New Roman"/>
          <w:lang w:val="de-DE"/>
        </w:rPr>
        <w:t xml:space="preserve"> </w:t>
      </w:r>
      <w:r w:rsidR="002219E1" w:rsidRPr="00F94366">
        <w:rPr>
          <w:rFonts w:cs="Times New Roman"/>
          <w:lang w:val="de-DE"/>
        </w:rPr>
        <w:t>专</w:t>
      </w:r>
      <w:r w:rsidR="002219E1" w:rsidRPr="00931219">
        <w:rPr>
          <w:rFonts w:ascii="宋体" w:hAnsi="宋体" w:cs="宋体" w:hint="eastAsia"/>
          <w:lang w:val="de-DE"/>
        </w:rPr>
        <w:t>利权人</w:t>
      </w:r>
      <w:r w:rsidR="00E24E00" w:rsidRPr="00931219">
        <w:rPr>
          <w:rFonts w:ascii="宋体" w:hAnsi="宋体" w:cs="宋体" w:hint="eastAsia"/>
          <w:lang w:val="de-DE"/>
        </w:rPr>
        <w:t>有义务</w:t>
      </w:r>
      <w:r w:rsidR="00341D51" w:rsidRPr="00931219">
        <w:rPr>
          <w:rFonts w:ascii="宋体" w:hAnsi="宋体" w:cs="宋体" w:hint="eastAsia"/>
          <w:lang w:val="de-DE"/>
        </w:rPr>
        <w:t>对其所提出的要约</w:t>
      </w:r>
      <w:r w:rsidR="004E6F0E" w:rsidRPr="00931219">
        <w:rPr>
          <w:rFonts w:ascii="宋体" w:hAnsi="宋体" w:cs="宋体" w:hint="eastAsia"/>
          <w:lang w:val="de-DE"/>
        </w:rPr>
        <w:t>报价</w:t>
      </w:r>
      <w:r w:rsidR="00341D51" w:rsidRPr="00931219">
        <w:rPr>
          <w:rFonts w:ascii="宋体" w:hAnsi="宋体" w:cs="宋体" w:hint="eastAsia"/>
          <w:lang w:val="de-DE"/>
        </w:rPr>
        <w:t>进行说明，并披露其在此之前是否已经与</w:t>
      </w:r>
      <w:r w:rsidR="00E24E00" w:rsidRPr="00931219">
        <w:rPr>
          <w:rFonts w:ascii="宋体" w:hAnsi="宋体" w:cs="宋体" w:hint="eastAsia"/>
          <w:lang w:val="de-DE"/>
        </w:rPr>
        <w:t>第三方签署过</w:t>
      </w:r>
      <w:r w:rsidR="00587C0C" w:rsidRPr="00931219">
        <w:rPr>
          <w:rFonts w:ascii="宋体" w:hAnsi="宋体" w:cs="宋体" w:hint="eastAsia"/>
          <w:lang w:val="de-DE"/>
        </w:rPr>
        <w:t>（在许可期限与许可内容上</w:t>
      </w:r>
      <w:r w:rsidR="004E6F0E" w:rsidRPr="00931219">
        <w:rPr>
          <w:rFonts w:ascii="宋体" w:hAnsi="宋体" w:cs="宋体" w:hint="eastAsia"/>
          <w:lang w:val="de-DE"/>
        </w:rPr>
        <w:t>可相比较</w:t>
      </w:r>
      <w:r w:rsidR="00380D81" w:rsidRPr="00931219">
        <w:rPr>
          <w:rFonts w:ascii="宋体" w:hAnsi="宋体" w:cs="宋体" w:hint="eastAsia"/>
          <w:lang w:val="de-DE"/>
        </w:rPr>
        <w:t>的</w:t>
      </w:r>
      <w:r w:rsidR="00696343" w:rsidRPr="00931219">
        <w:rPr>
          <w:rFonts w:ascii="宋体" w:hAnsi="宋体" w:cs="宋体" w:hint="eastAsia"/>
          <w:lang w:val="de-DE"/>
        </w:rPr>
        <w:t>）</w:t>
      </w:r>
      <w:r w:rsidR="00380D81" w:rsidRPr="00931219">
        <w:rPr>
          <w:rFonts w:ascii="宋体" w:hAnsi="宋体" w:cs="宋体" w:hint="eastAsia"/>
          <w:lang w:val="de-DE"/>
        </w:rPr>
        <w:t>许可合同以及具体是以何种条件签订的这些合同；此外，在某些情况下，专利权人</w:t>
      </w:r>
      <w:r w:rsidR="004E6F0E" w:rsidRPr="00931219">
        <w:rPr>
          <w:rFonts w:ascii="宋体" w:hAnsi="宋体" w:cs="宋体" w:hint="eastAsia"/>
          <w:lang w:val="de-DE"/>
        </w:rPr>
        <w:t>必须解释其为何将</w:t>
      </w:r>
      <w:r w:rsidR="00164A38" w:rsidRPr="00931219">
        <w:rPr>
          <w:rFonts w:ascii="宋体" w:hAnsi="宋体" w:cs="宋体" w:hint="eastAsia"/>
          <w:lang w:val="de-DE"/>
        </w:rPr>
        <w:t>某些</w:t>
      </w:r>
      <w:r w:rsidR="004E6F0E" w:rsidRPr="00931219">
        <w:rPr>
          <w:rFonts w:ascii="宋体" w:hAnsi="宋体" w:cs="宋体" w:hint="eastAsia"/>
          <w:lang w:val="de-DE"/>
        </w:rPr>
        <w:t>使用人并未要求许可的专利也一揽子地纳入要约报价。</w:t>
      </w:r>
      <w:r w:rsidR="00A34343" w:rsidRPr="00931219">
        <w:rPr>
          <w:rFonts w:ascii="宋体" w:hAnsi="宋体" w:cs="宋体" w:hint="eastAsia"/>
          <w:lang w:val="de-DE"/>
        </w:rPr>
        <w:t>如果</w:t>
      </w:r>
      <w:r w:rsidR="00274DC1" w:rsidRPr="00931219">
        <w:rPr>
          <w:rFonts w:ascii="宋体" w:hAnsi="宋体" w:cs="宋体" w:hint="eastAsia"/>
          <w:lang w:val="de-DE"/>
        </w:rPr>
        <w:t>先前</w:t>
      </w:r>
      <w:r w:rsidR="00164A38" w:rsidRPr="00931219">
        <w:rPr>
          <w:rFonts w:ascii="宋体" w:hAnsi="宋体" w:cs="宋体" w:hint="eastAsia"/>
          <w:lang w:val="de-DE"/>
        </w:rPr>
        <w:t>与</w:t>
      </w:r>
      <w:r w:rsidR="00F94D81" w:rsidRPr="00931219">
        <w:rPr>
          <w:rFonts w:ascii="宋体" w:hAnsi="宋体" w:cs="宋体" w:hint="eastAsia"/>
          <w:lang w:val="de-DE"/>
        </w:rPr>
        <w:t>第三方</w:t>
      </w:r>
      <w:r w:rsidR="004E6F0E" w:rsidRPr="00931219">
        <w:rPr>
          <w:rFonts w:ascii="宋体" w:hAnsi="宋体" w:cs="宋体" w:hint="eastAsia"/>
          <w:lang w:val="de-DE"/>
        </w:rPr>
        <w:t>签署的许可合同</w:t>
      </w:r>
      <w:r w:rsidR="00274DC1" w:rsidRPr="00931219">
        <w:rPr>
          <w:rFonts w:ascii="宋体" w:hAnsi="宋体" w:cs="宋体" w:hint="eastAsia"/>
          <w:lang w:val="de-DE"/>
        </w:rPr>
        <w:t>就合同内容</w:t>
      </w:r>
      <w:r w:rsidR="00A34343" w:rsidRPr="00931219">
        <w:rPr>
          <w:rFonts w:ascii="宋体" w:hAnsi="宋体" w:cs="宋体" w:hint="eastAsia"/>
          <w:lang w:val="de-DE"/>
        </w:rPr>
        <w:t>对</w:t>
      </w:r>
      <w:proofErr w:type="gramStart"/>
      <w:r w:rsidR="00A34343" w:rsidRPr="00931219">
        <w:rPr>
          <w:rFonts w:ascii="宋体" w:hAnsi="宋体" w:cs="宋体" w:hint="eastAsia"/>
          <w:lang w:val="de-DE"/>
        </w:rPr>
        <w:t>专利权人</w:t>
      </w:r>
      <w:r w:rsidR="00274DC1" w:rsidRPr="00931219">
        <w:rPr>
          <w:rFonts w:ascii="宋体" w:hAnsi="宋体" w:cs="宋体" w:hint="eastAsia"/>
          <w:lang w:val="de-DE"/>
        </w:rPr>
        <w:t>课有</w:t>
      </w:r>
      <w:proofErr w:type="gramEnd"/>
      <w:r w:rsidR="00274DC1" w:rsidRPr="00931219">
        <w:rPr>
          <w:rFonts w:ascii="宋体" w:hAnsi="宋体" w:cs="宋体" w:hint="eastAsia"/>
          <w:lang w:val="de-DE"/>
        </w:rPr>
        <w:t>保密义务，</w:t>
      </w:r>
      <w:r w:rsidR="00A34343" w:rsidRPr="00931219">
        <w:rPr>
          <w:rFonts w:ascii="宋体" w:hAnsi="宋体" w:cs="宋体" w:hint="eastAsia"/>
          <w:lang w:val="de-DE"/>
        </w:rPr>
        <w:t>只要</w:t>
      </w:r>
      <w:r w:rsidR="00F94D81" w:rsidRPr="00931219">
        <w:rPr>
          <w:rFonts w:ascii="宋体" w:hAnsi="宋体" w:cs="宋体" w:hint="eastAsia"/>
          <w:lang w:val="de-DE"/>
        </w:rPr>
        <w:t>使用</w:t>
      </w:r>
      <w:r w:rsidR="00A34343" w:rsidRPr="00931219">
        <w:rPr>
          <w:rFonts w:ascii="宋体" w:hAnsi="宋体" w:cs="宋体" w:hint="eastAsia"/>
          <w:lang w:val="de-DE"/>
        </w:rPr>
        <w:t>人</w:t>
      </w:r>
      <w:r w:rsidR="00F94D81" w:rsidRPr="00931219">
        <w:rPr>
          <w:rFonts w:ascii="宋体" w:hAnsi="宋体" w:cs="宋体" w:hint="eastAsia"/>
          <w:lang w:val="de-DE"/>
        </w:rPr>
        <w:t>签署了保密协议，专利权人——在合</w:t>
      </w:r>
      <w:proofErr w:type="gramStart"/>
      <w:r w:rsidR="00F94D81" w:rsidRPr="00931219">
        <w:rPr>
          <w:rFonts w:ascii="宋体" w:hAnsi="宋体" w:cs="宋体" w:hint="eastAsia"/>
          <w:lang w:val="de-DE"/>
        </w:rPr>
        <w:t>规</w:t>
      </w:r>
      <w:proofErr w:type="gramEnd"/>
      <w:r w:rsidR="00F94D81" w:rsidRPr="00931219">
        <w:rPr>
          <w:rFonts w:ascii="宋体" w:hAnsi="宋体" w:cs="宋体" w:hint="eastAsia"/>
          <w:lang w:val="de-DE"/>
        </w:rPr>
        <w:t>的情况下——仍然可以将合同细节告知使用人</w:t>
      </w:r>
      <w:r w:rsidR="00135D7F" w:rsidRPr="00931219">
        <w:rPr>
          <w:rFonts w:ascii="宋体" w:hAnsi="宋体" w:cs="宋体" w:hint="eastAsia"/>
          <w:lang w:val="de-DE"/>
        </w:rPr>
        <w:t>。</w:t>
      </w:r>
      <w:r w:rsidR="00F94D81" w:rsidRPr="00931219">
        <w:rPr>
          <w:rFonts w:ascii="宋体" w:hAnsi="宋体" w:cs="宋体" w:hint="eastAsia"/>
          <w:lang w:val="de-DE"/>
        </w:rPr>
        <w:t>但</w:t>
      </w:r>
      <w:r w:rsidR="00260915" w:rsidRPr="00931219">
        <w:rPr>
          <w:rFonts w:ascii="宋体" w:hAnsi="宋体" w:cs="宋体" w:hint="eastAsia"/>
          <w:lang w:val="de-DE"/>
        </w:rPr>
        <w:t>是</w:t>
      </w:r>
      <w:r w:rsidR="00F94D81" w:rsidRPr="00931219">
        <w:rPr>
          <w:rFonts w:ascii="宋体" w:hAnsi="宋体" w:cs="宋体" w:hint="eastAsia"/>
          <w:lang w:val="de-DE"/>
        </w:rPr>
        <w:t>如果这样</w:t>
      </w:r>
      <w:proofErr w:type="gramStart"/>
      <w:r w:rsidR="00F94D81" w:rsidRPr="00931219">
        <w:rPr>
          <w:rFonts w:ascii="宋体" w:hAnsi="宋体" w:cs="宋体" w:hint="eastAsia"/>
          <w:lang w:val="de-DE"/>
        </w:rPr>
        <w:t>做仍不合规</w:t>
      </w:r>
      <w:proofErr w:type="gramEnd"/>
      <w:r w:rsidR="00F94D81" w:rsidRPr="00931219">
        <w:rPr>
          <w:rFonts w:ascii="宋体" w:hAnsi="宋体" w:cs="宋体" w:hint="eastAsia"/>
          <w:lang w:val="de-DE"/>
        </w:rPr>
        <w:t>，</w:t>
      </w:r>
      <w:r w:rsidR="00260915" w:rsidRPr="00931219">
        <w:rPr>
          <w:rFonts w:ascii="宋体" w:hAnsi="宋体" w:cs="宋体" w:hint="eastAsia"/>
          <w:lang w:val="de-DE"/>
        </w:rPr>
        <w:t>专利权人</w:t>
      </w:r>
      <w:r w:rsidR="00135D7F" w:rsidRPr="00931219">
        <w:rPr>
          <w:rFonts w:ascii="宋体" w:hAnsi="宋体" w:cs="宋体" w:hint="eastAsia"/>
          <w:lang w:val="de-DE"/>
        </w:rPr>
        <w:t>则应</w:t>
      </w:r>
      <w:r w:rsidR="00260915" w:rsidRPr="00931219">
        <w:rPr>
          <w:rFonts w:ascii="宋体" w:hAnsi="宋体" w:cs="宋体" w:hint="eastAsia"/>
          <w:lang w:val="de-DE"/>
        </w:rPr>
        <w:t>在侵权诉讼程序中申请法院介入</w:t>
      </w:r>
      <w:r w:rsidR="00135D7F" w:rsidRPr="00931219">
        <w:rPr>
          <w:rFonts w:ascii="宋体" w:hAnsi="宋体" w:cs="宋体" w:hint="eastAsia"/>
          <w:lang w:val="de-DE"/>
        </w:rPr>
        <w:t>，就此可参考本法院</w:t>
      </w:r>
      <w:r w:rsidR="00030D6A">
        <w:rPr>
          <w:rFonts w:ascii="宋体" w:hAnsi="宋体" w:cs="宋体" w:hint="eastAsia"/>
          <w:lang w:val="de-DE"/>
        </w:rPr>
        <w:t>制定</w:t>
      </w:r>
      <w:r w:rsidR="00135D7F" w:rsidRPr="00931219">
        <w:rPr>
          <w:rFonts w:ascii="宋体" w:hAnsi="宋体" w:cs="宋体" w:hint="eastAsia"/>
          <w:lang w:val="de-DE"/>
        </w:rPr>
        <w:t>的《关于审理侵犯专利权纠纷时在言辞辩论</w:t>
      </w:r>
      <w:r w:rsidR="003A0C35" w:rsidRPr="00931219">
        <w:rPr>
          <w:rFonts w:ascii="宋体" w:hAnsi="宋体" w:cs="宋体" w:hint="eastAsia"/>
          <w:lang w:val="de-DE"/>
        </w:rPr>
        <w:t>程序</w:t>
      </w:r>
      <w:r w:rsidR="00135D7F" w:rsidRPr="00931219">
        <w:rPr>
          <w:rFonts w:ascii="宋体" w:hAnsi="宋体" w:cs="宋体" w:hint="eastAsia"/>
          <w:lang w:val="de-DE"/>
        </w:rPr>
        <w:t>内外处理保密申请的指南》。</w:t>
      </w:r>
      <w:r w:rsidR="00135D7F" w:rsidRPr="00F94366">
        <w:rPr>
          <w:rStyle w:val="a8"/>
          <w:rFonts w:cs="Times New Roman"/>
          <w:lang w:val="de-DE"/>
        </w:rPr>
        <w:footnoteReference w:id="1"/>
      </w:r>
    </w:p>
    <w:p w14:paraId="4CF1573F" w14:textId="5B1DAC8B" w:rsidR="00135D7F" w:rsidRPr="00F94366" w:rsidRDefault="00135D7F" w:rsidP="00054383">
      <w:pPr>
        <w:pStyle w:val="1"/>
        <w:rPr>
          <w:rFonts w:ascii="Times New Roman" w:hAnsi="Times New Roman" w:cs="Times New Roman"/>
        </w:rPr>
      </w:pPr>
      <w:bookmarkStart w:id="2" w:name="_Toc33138366"/>
      <w:r w:rsidRPr="00F94366">
        <w:rPr>
          <w:rFonts w:ascii="Times New Roman" w:hAnsi="Times New Roman" w:cs="Times New Roman"/>
        </w:rPr>
        <w:t>III.</w:t>
      </w:r>
      <w:r w:rsidR="000245FE">
        <w:rPr>
          <w:rFonts w:ascii="Times New Roman" w:hAnsi="Times New Roman" w:cs="Times New Roman"/>
        </w:rPr>
        <w:t xml:space="preserve"> </w:t>
      </w:r>
      <w:r w:rsidR="0095534C" w:rsidRPr="00F94366">
        <w:rPr>
          <w:rFonts w:ascii="Times New Roman" w:hAnsi="Times New Roman" w:cs="Times New Roman"/>
        </w:rPr>
        <w:t>言辞辩论结束之前对未履行步骤的补救</w:t>
      </w:r>
      <w:bookmarkEnd w:id="2"/>
    </w:p>
    <w:p w14:paraId="41859BC7" w14:textId="7002D068" w:rsidR="0095534C" w:rsidRPr="00931219" w:rsidRDefault="006D64B5" w:rsidP="000312F4">
      <w:pPr>
        <w:widowControl/>
        <w:snapToGrid w:val="0"/>
        <w:spacing w:afterLines="100" w:after="423" w:line="360" w:lineRule="auto"/>
        <w:rPr>
          <w:rFonts w:ascii="宋体" w:hAnsi="宋体" w:cs="宋体"/>
          <w:lang w:val="de-DE"/>
        </w:rPr>
      </w:pPr>
      <w:r>
        <w:rPr>
          <w:rFonts w:ascii="Georgia" w:hAnsi="Georgia" w:cs="宋体"/>
          <w:color w:val="A6A6A6" w:themeColor="background1" w:themeShade="A6"/>
          <w:lang w:val="de-DE"/>
        </w:rPr>
        <w:t xml:space="preserve">    </w:t>
      </w:r>
      <w:r w:rsidR="0095534C" w:rsidRPr="00931219">
        <w:rPr>
          <w:rFonts w:ascii="宋体" w:hAnsi="宋体" w:cs="宋体" w:hint="eastAsia"/>
          <w:lang w:val="de-DE"/>
        </w:rPr>
        <w:t>根据《德国民事诉</w:t>
      </w:r>
      <w:r w:rsidR="0095534C" w:rsidRPr="00F94366">
        <w:rPr>
          <w:rFonts w:cs="Times New Roman"/>
          <w:lang w:val="de-DE"/>
        </w:rPr>
        <w:t>讼法》第</w:t>
      </w:r>
      <w:r w:rsidR="0095534C" w:rsidRPr="00F94366">
        <w:rPr>
          <w:rFonts w:cs="Times New Roman"/>
          <w:lang w:val="de-DE"/>
        </w:rPr>
        <w:t>136</w:t>
      </w:r>
      <w:r w:rsidR="0095534C" w:rsidRPr="00F94366">
        <w:rPr>
          <w:rFonts w:cs="Times New Roman"/>
          <w:lang w:val="de-DE"/>
        </w:rPr>
        <w:t>条第</w:t>
      </w:r>
      <w:r w:rsidR="0095534C" w:rsidRPr="00F94366">
        <w:rPr>
          <w:rFonts w:cs="Times New Roman"/>
          <w:lang w:val="de-DE"/>
        </w:rPr>
        <w:t>4</w:t>
      </w:r>
      <w:r w:rsidR="0095534C" w:rsidRPr="00F94366">
        <w:rPr>
          <w:rFonts w:cs="Times New Roman"/>
          <w:lang w:val="de-DE"/>
        </w:rPr>
        <w:t>款的规定，</w:t>
      </w:r>
      <w:r w:rsidR="001764D0" w:rsidRPr="00F94366">
        <w:rPr>
          <w:rFonts w:cs="Times New Roman"/>
          <w:lang w:val="de-DE"/>
        </w:rPr>
        <w:t>对于以上</w:t>
      </w:r>
      <w:proofErr w:type="gramStart"/>
      <w:r w:rsidR="001764D0" w:rsidRPr="00F94366">
        <w:rPr>
          <w:rFonts w:cs="Times New Roman"/>
          <w:lang w:val="de-DE"/>
        </w:rPr>
        <w:t>必要履行</w:t>
      </w:r>
      <w:proofErr w:type="gramEnd"/>
      <w:r w:rsidR="001764D0" w:rsidRPr="00F94366">
        <w:rPr>
          <w:rFonts w:cs="Times New Roman"/>
          <w:lang w:val="de-DE"/>
        </w:rPr>
        <w:t>步骤是否按规定完成，应以言辞辩论结束为时点进行判断。根据</w:t>
      </w:r>
      <w:r w:rsidR="00810AB7" w:rsidRPr="00F94366">
        <w:rPr>
          <w:rFonts w:cs="Times New Roman"/>
          <w:lang w:val="de-DE"/>
        </w:rPr>
        <w:t>本法院</w:t>
      </w:r>
      <w:r w:rsidR="00E10BAD" w:rsidRPr="00F94366">
        <w:rPr>
          <w:rFonts w:cs="Times New Roman"/>
          <w:lang w:val="de-DE"/>
        </w:rPr>
        <w:t>处理专利权纠纷的程序，该时间点即为</w:t>
      </w:r>
      <w:r w:rsidR="00AD4CC1" w:rsidRPr="00F94366">
        <w:rPr>
          <w:rFonts w:cs="Times New Roman"/>
          <w:lang w:val="de-DE"/>
        </w:rPr>
        <w:t>开庭审理</w:t>
      </w:r>
      <w:r w:rsidR="00E10BAD" w:rsidRPr="00F94366">
        <w:rPr>
          <w:rFonts w:cs="Times New Roman"/>
          <w:lang w:val="de-DE"/>
        </w:rPr>
        <w:t>（</w:t>
      </w:r>
      <w:r w:rsidR="00E10BAD" w:rsidRPr="00F94366">
        <w:rPr>
          <w:rFonts w:cs="Times New Roman"/>
          <w:lang w:val="de-DE"/>
        </w:rPr>
        <w:t>Haupttermin</w:t>
      </w:r>
      <w:r w:rsidR="00E10BAD" w:rsidRPr="00F94366">
        <w:rPr>
          <w:rFonts w:cs="Times New Roman"/>
          <w:lang w:val="de-DE"/>
        </w:rPr>
        <w:t>）结束之时。因此，在遵循法律以及法院所设定的期限的前提下，具体缺漏的步骤必须在此时间点之前进行补救。</w:t>
      </w:r>
      <w:r w:rsidR="00DA7C4B" w:rsidRPr="00F94366">
        <w:rPr>
          <w:rFonts w:cs="Times New Roman"/>
          <w:lang w:val="de-DE"/>
        </w:rPr>
        <w:t>根据本法院处理专利权纠纷的程序，只要具体缺漏的步骤最迟于</w:t>
      </w:r>
      <w:r w:rsidR="007971D1" w:rsidRPr="00F94366">
        <w:rPr>
          <w:rFonts w:cs="Times New Roman"/>
          <w:lang w:val="de-DE"/>
        </w:rPr>
        <w:t>首</w:t>
      </w:r>
      <w:r w:rsidR="00AD4CC1" w:rsidRPr="00F94366">
        <w:rPr>
          <w:rFonts w:cs="Times New Roman"/>
          <w:lang w:val="de-DE"/>
        </w:rPr>
        <w:t>次庭前会议</w:t>
      </w:r>
      <w:r w:rsidR="00DA7C4B" w:rsidRPr="00F94366">
        <w:rPr>
          <w:rFonts w:cs="Times New Roman"/>
          <w:lang w:val="de-DE"/>
        </w:rPr>
        <w:t>（</w:t>
      </w:r>
      <w:r w:rsidR="00DA7C4B" w:rsidRPr="00F94366">
        <w:rPr>
          <w:rFonts w:cs="Times New Roman"/>
          <w:lang w:val="de-DE"/>
        </w:rPr>
        <w:t>früher ersten Termin</w:t>
      </w:r>
      <w:r w:rsidR="00DA7C4B" w:rsidRPr="00F94366">
        <w:rPr>
          <w:rFonts w:cs="Times New Roman"/>
          <w:lang w:val="de-DE"/>
        </w:rPr>
        <w:t>）被确定，双方可</w:t>
      </w:r>
      <w:r w:rsidR="00DA7C4B" w:rsidRPr="00931219">
        <w:rPr>
          <w:rFonts w:ascii="宋体" w:hAnsi="宋体" w:cs="宋体" w:hint="eastAsia"/>
          <w:lang w:val="de-DE"/>
        </w:rPr>
        <w:t>以利用</w:t>
      </w:r>
      <w:r w:rsidR="007971D1" w:rsidRPr="00931219">
        <w:rPr>
          <w:rFonts w:ascii="宋体" w:hAnsi="宋体" w:cs="宋体" w:hint="eastAsia"/>
          <w:lang w:val="de-DE"/>
        </w:rPr>
        <w:t>首次</w:t>
      </w:r>
      <w:r w:rsidR="00AD4CC1" w:rsidRPr="00931219">
        <w:rPr>
          <w:rFonts w:ascii="宋体" w:hAnsi="宋体" w:cs="宋体" w:hint="eastAsia"/>
          <w:lang w:val="de-DE"/>
        </w:rPr>
        <w:t>庭前会议与开庭审理</w:t>
      </w:r>
      <w:r w:rsidR="00DA7C4B" w:rsidRPr="00931219">
        <w:rPr>
          <w:rFonts w:ascii="宋体" w:hAnsi="宋体" w:cs="宋体" w:hint="eastAsia"/>
          <w:lang w:val="en-GB"/>
        </w:rPr>
        <w:t>之间的这个</w:t>
      </w:r>
      <w:r w:rsidR="00C43809" w:rsidRPr="00931219">
        <w:rPr>
          <w:rFonts w:ascii="宋体" w:hAnsi="宋体" w:cs="宋体" w:hint="eastAsia"/>
          <w:lang w:val="en-GB"/>
        </w:rPr>
        <w:t>时间段</w:t>
      </w:r>
      <w:r w:rsidR="00DA7C4B" w:rsidRPr="00931219">
        <w:rPr>
          <w:rFonts w:ascii="宋体" w:hAnsi="宋体" w:cs="宋体" w:hint="eastAsia"/>
          <w:lang w:val="en-GB"/>
        </w:rPr>
        <w:t>对缺漏进行弥补。</w:t>
      </w:r>
      <w:r w:rsidR="00823519" w:rsidRPr="00931219">
        <w:rPr>
          <w:rFonts w:ascii="宋体" w:hAnsi="宋体" w:cs="宋体" w:hint="eastAsia"/>
          <w:lang w:val="en-GB"/>
        </w:rPr>
        <w:t>针对单个起诉，</w:t>
      </w:r>
      <w:r w:rsidR="0001550E" w:rsidRPr="00931219">
        <w:rPr>
          <w:rFonts w:ascii="宋体" w:hAnsi="宋体" w:cs="宋体" w:hint="eastAsia"/>
          <w:lang w:val="en-GB"/>
        </w:rPr>
        <w:t>本院下辖的两个专利庭</w:t>
      </w:r>
      <w:r w:rsidR="00823519" w:rsidRPr="00931219">
        <w:rPr>
          <w:rFonts w:ascii="宋体" w:hAnsi="宋体" w:cs="宋体" w:hint="eastAsia"/>
          <w:lang w:val="en-GB"/>
        </w:rPr>
        <w:t>将——在可</w:t>
      </w:r>
      <w:r w:rsidR="00823519" w:rsidRPr="00931219">
        <w:rPr>
          <w:rFonts w:ascii="宋体" w:hAnsi="宋体" w:cs="宋体" w:hint="eastAsia"/>
          <w:lang w:val="en-GB"/>
        </w:rPr>
        <w:lastRenderedPageBreak/>
        <w:t>能的情况下——</w:t>
      </w:r>
      <w:proofErr w:type="gramStart"/>
      <w:r w:rsidR="00823519" w:rsidRPr="00931219">
        <w:rPr>
          <w:rFonts w:ascii="宋体" w:hAnsi="宋体" w:cs="宋体" w:hint="eastAsia"/>
          <w:lang w:val="en-GB"/>
        </w:rPr>
        <w:t>于</w:t>
      </w:r>
      <w:r w:rsidR="007971D1" w:rsidRPr="00931219">
        <w:rPr>
          <w:rFonts w:ascii="宋体" w:hAnsi="宋体" w:cs="宋体" w:hint="eastAsia"/>
          <w:lang w:val="en-GB"/>
        </w:rPr>
        <w:t>首次</w:t>
      </w:r>
      <w:proofErr w:type="gramEnd"/>
      <w:r w:rsidR="00AD4CC1" w:rsidRPr="00931219">
        <w:rPr>
          <w:rFonts w:ascii="宋体" w:hAnsi="宋体" w:cs="宋体" w:hint="eastAsia"/>
          <w:lang w:val="en-GB"/>
        </w:rPr>
        <w:t>庭前会议</w:t>
      </w:r>
      <w:r w:rsidR="000C0160" w:rsidRPr="00931219">
        <w:rPr>
          <w:rFonts w:ascii="宋体" w:hAnsi="宋体" w:cs="宋体" w:hint="eastAsia"/>
          <w:lang w:val="en-GB"/>
        </w:rPr>
        <w:t>即处理反垄断抗辩</w:t>
      </w:r>
      <w:r w:rsidR="000C0160" w:rsidRPr="00931219">
        <w:rPr>
          <w:rFonts w:ascii="宋体" w:hAnsi="宋体" w:cs="宋体" w:hint="eastAsia"/>
          <w:lang w:val="de-DE"/>
        </w:rPr>
        <w:t>，以给诉讼双方留出弥补缺漏的机会。</w:t>
      </w:r>
      <w:r w:rsidR="00FC02CB" w:rsidRPr="00931219">
        <w:rPr>
          <w:rFonts w:ascii="宋体" w:hAnsi="宋体" w:cs="宋体" w:hint="eastAsia"/>
          <w:lang w:val="de-DE"/>
        </w:rPr>
        <w:t>在</w:t>
      </w:r>
      <w:r w:rsidR="000C0160" w:rsidRPr="00931219">
        <w:rPr>
          <w:rFonts w:ascii="宋体" w:hAnsi="宋体" w:cs="宋体" w:hint="eastAsia"/>
          <w:lang w:val="de-DE"/>
        </w:rPr>
        <w:t>专利权人</w:t>
      </w:r>
      <w:r w:rsidR="00FC02CB" w:rsidRPr="00931219">
        <w:rPr>
          <w:rFonts w:ascii="宋体" w:hAnsi="宋体" w:cs="宋体" w:hint="eastAsia"/>
          <w:lang w:val="de-DE"/>
        </w:rPr>
        <w:t>对不同使用人同时</w:t>
      </w:r>
      <w:r w:rsidR="000C0160" w:rsidRPr="00931219">
        <w:rPr>
          <w:rFonts w:ascii="宋体" w:hAnsi="宋体" w:cs="宋体" w:hint="eastAsia"/>
          <w:lang w:val="de-DE"/>
        </w:rPr>
        <w:t>提起的多项诉讼</w:t>
      </w:r>
      <w:r w:rsidR="00FC02CB" w:rsidRPr="00931219">
        <w:rPr>
          <w:rFonts w:ascii="宋体" w:hAnsi="宋体" w:cs="宋体" w:hint="eastAsia"/>
          <w:lang w:val="de-DE"/>
        </w:rPr>
        <w:t>由某一专利庭单独受理的情况下</w:t>
      </w:r>
      <w:r w:rsidR="000C0160" w:rsidRPr="00931219">
        <w:rPr>
          <w:rFonts w:ascii="宋体" w:hAnsi="宋体" w:cs="宋体" w:hint="eastAsia"/>
          <w:lang w:val="de-DE"/>
        </w:rPr>
        <w:t>，</w:t>
      </w:r>
      <w:r w:rsidR="00FC02CB" w:rsidRPr="00931219">
        <w:rPr>
          <w:rFonts w:ascii="宋体" w:hAnsi="宋体" w:cs="宋体" w:hint="eastAsia"/>
          <w:lang w:val="de-DE"/>
        </w:rPr>
        <w:t>该专利</w:t>
      </w:r>
      <w:proofErr w:type="gramStart"/>
      <w:r w:rsidR="00FC02CB" w:rsidRPr="00931219">
        <w:rPr>
          <w:rFonts w:ascii="宋体" w:hAnsi="宋体" w:cs="宋体" w:hint="eastAsia"/>
          <w:lang w:val="de-DE"/>
        </w:rPr>
        <w:t>庭应该</w:t>
      </w:r>
      <w:proofErr w:type="gramEnd"/>
      <w:r w:rsidR="00FC02CB" w:rsidRPr="00931219">
        <w:rPr>
          <w:rFonts w:ascii="宋体" w:hAnsi="宋体" w:cs="宋体" w:hint="eastAsia"/>
          <w:lang w:val="de-DE"/>
        </w:rPr>
        <w:t>确定一个（不涉及技术事项）的</w:t>
      </w:r>
      <w:r w:rsidR="00C43809" w:rsidRPr="00931219">
        <w:rPr>
          <w:rFonts w:ascii="宋体" w:hAnsi="宋体" w:cs="宋体" w:hint="eastAsia"/>
          <w:lang w:val="de-DE"/>
        </w:rPr>
        <w:t>庭前会议期日</w:t>
      </w:r>
      <w:r w:rsidR="00FC02CB" w:rsidRPr="00931219">
        <w:rPr>
          <w:rFonts w:ascii="宋体" w:hAnsi="宋体" w:cs="宋体" w:hint="eastAsia"/>
          <w:lang w:val="de-DE"/>
        </w:rPr>
        <w:t>以集中处理反垄断抗辩。</w:t>
      </w:r>
      <w:r w:rsidR="00A11009" w:rsidRPr="00931219">
        <w:rPr>
          <w:rFonts w:ascii="宋体" w:hAnsi="宋体" w:cs="宋体" w:hint="eastAsia"/>
          <w:lang w:val="de-DE"/>
        </w:rPr>
        <w:t>如果</w:t>
      </w:r>
      <w:r w:rsidR="00D1658A" w:rsidRPr="00931219">
        <w:rPr>
          <w:rFonts w:ascii="宋体" w:hAnsi="宋体" w:cs="宋体" w:hint="eastAsia"/>
          <w:lang w:val="de-DE"/>
        </w:rPr>
        <w:t>涉及同一反垄断抗辩的</w:t>
      </w:r>
      <w:r w:rsidR="00A11009" w:rsidRPr="00931219">
        <w:rPr>
          <w:rFonts w:ascii="宋体" w:hAnsi="宋体" w:cs="宋体" w:hint="eastAsia"/>
          <w:lang w:val="de-DE"/>
        </w:rPr>
        <w:t>多项</w:t>
      </w:r>
      <w:r w:rsidR="00D1658A" w:rsidRPr="00931219">
        <w:rPr>
          <w:rFonts w:ascii="宋体" w:hAnsi="宋体" w:cs="宋体" w:hint="eastAsia"/>
          <w:lang w:val="de-DE"/>
        </w:rPr>
        <w:t>诉讼由两个专利</w:t>
      </w:r>
      <w:proofErr w:type="gramStart"/>
      <w:r w:rsidR="00D1658A" w:rsidRPr="00931219">
        <w:rPr>
          <w:rFonts w:ascii="宋体" w:hAnsi="宋体" w:cs="宋体" w:hint="eastAsia"/>
          <w:lang w:val="de-DE"/>
        </w:rPr>
        <w:t>庭分别</w:t>
      </w:r>
      <w:proofErr w:type="gramEnd"/>
      <w:r w:rsidR="00D1658A" w:rsidRPr="00931219">
        <w:rPr>
          <w:rFonts w:ascii="宋体" w:hAnsi="宋体" w:cs="宋体" w:hint="eastAsia"/>
          <w:lang w:val="de-DE"/>
        </w:rPr>
        <w:t>受理，则两个专利</w:t>
      </w:r>
      <w:proofErr w:type="gramStart"/>
      <w:r w:rsidR="00D1658A" w:rsidRPr="00931219">
        <w:rPr>
          <w:rFonts w:ascii="宋体" w:hAnsi="宋体" w:cs="宋体" w:hint="eastAsia"/>
          <w:lang w:val="de-DE"/>
        </w:rPr>
        <w:t>庭应该</w:t>
      </w:r>
      <w:proofErr w:type="gramEnd"/>
      <w:r w:rsidR="00D1658A" w:rsidRPr="00931219">
        <w:rPr>
          <w:rFonts w:ascii="宋体" w:hAnsi="宋体" w:cs="宋体" w:hint="eastAsia"/>
          <w:lang w:val="de-DE"/>
        </w:rPr>
        <w:t>彼此协调以求一致。</w:t>
      </w:r>
    </w:p>
    <w:p w14:paraId="3E93C200" w14:textId="77777777" w:rsidR="00E03E20" w:rsidRPr="00F94366" w:rsidRDefault="00E03E20" w:rsidP="00054383">
      <w:pPr>
        <w:pStyle w:val="1"/>
        <w:rPr>
          <w:rFonts w:ascii="Times New Roman" w:hAnsi="Times New Roman" w:cs="Times New Roman"/>
        </w:rPr>
      </w:pPr>
      <w:bookmarkStart w:id="3" w:name="_Toc33138367"/>
      <w:r w:rsidRPr="00F94366">
        <w:rPr>
          <w:rFonts w:ascii="Times New Roman" w:hAnsi="Times New Roman" w:cs="Times New Roman"/>
        </w:rPr>
        <w:t>IV.</w:t>
      </w:r>
      <w:r w:rsidR="00AD0520" w:rsidRPr="00F94366">
        <w:rPr>
          <w:rFonts w:ascii="Times New Roman" w:hAnsi="Times New Roman" w:cs="Times New Roman"/>
        </w:rPr>
        <w:t xml:space="preserve"> </w:t>
      </w:r>
      <w:r w:rsidR="00AD0520" w:rsidRPr="00F94366">
        <w:rPr>
          <w:rFonts w:ascii="Times New Roman" w:hAnsi="Times New Roman" w:cs="Times New Roman"/>
        </w:rPr>
        <w:t>诉讼进程一览</w:t>
      </w:r>
      <w:r w:rsidR="00054383" w:rsidRPr="00F94366">
        <w:rPr>
          <w:rFonts w:ascii="Times New Roman" w:hAnsi="Times New Roman" w:cs="Times New Roman"/>
        </w:rPr>
        <w:t>：</w:t>
      </w:r>
      <w:bookmarkEnd w:id="3"/>
    </w:p>
    <w:p w14:paraId="4C0C1F22" w14:textId="77777777" w:rsidR="00054383" w:rsidRPr="00F94366" w:rsidRDefault="00AD0520" w:rsidP="00054383">
      <w:pPr>
        <w:pStyle w:val="2"/>
        <w:rPr>
          <w:rFonts w:ascii="Times New Roman" w:hAnsi="Times New Roman" w:cs="Times New Roman"/>
          <w:sz w:val="24"/>
          <w:szCs w:val="24"/>
        </w:rPr>
      </w:pPr>
      <w:bookmarkStart w:id="4" w:name="_Toc33138368"/>
      <w:r w:rsidRPr="00F94366">
        <w:rPr>
          <w:rFonts w:ascii="Times New Roman" w:hAnsi="Times New Roman" w:cs="Times New Roman"/>
          <w:sz w:val="24"/>
          <w:szCs w:val="24"/>
        </w:rPr>
        <w:t xml:space="preserve">1. </w:t>
      </w:r>
      <w:r w:rsidR="001439CF" w:rsidRPr="00F94366">
        <w:rPr>
          <w:rFonts w:ascii="Times New Roman" w:hAnsi="Times New Roman" w:cs="Times New Roman"/>
          <w:sz w:val="24"/>
          <w:szCs w:val="24"/>
        </w:rPr>
        <w:t>在什么条件下可以开始讨论</w:t>
      </w:r>
      <w:r w:rsidR="00DD3D85" w:rsidRPr="00F94366">
        <w:rPr>
          <w:rFonts w:ascii="Times New Roman" w:hAnsi="Times New Roman" w:cs="Times New Roman"/>
          <w:sz w:val="24"/>
          <w:szCs w:val="24"/>
        </w:rPr>
        <w:t>反垄断抗辩</w:t>
      </w:r>
      <w:bookmarkEnd w:id="4"/>
    </w:p>
    <w:p w14:paraId="1CBA4315" w14:textId="040D0DAD" w:rsidR="00054383" w:rsidRPr="00F94366" w:rsidRDefault="00F3238D" w:rsidP="00054383">
      <w:pPr>
        <w:widowControl/>
        <w:snapToGrid w:val="0"/>
        <w:spacing w:line="360" w:lineRule="auto"/>
        <w:rPr>
          <w:rFonts w:cs="Times New Roman"/>
          <w:lang w:val="de-DE"/>
        </w:rPr>
      </w:pPr>
      <w:r>
        <w:rPr>
          <w:rFonts w:cs="Times New Roman"/>
          <w:color w:val="A6A6A6" w:themeColor="background1" w:themeShade="A6"/>
          <w:lang w:val="de-DE"/>
        </w:rPr>
        <w:t xml:space="preserve">    </w:t>
      </w:r>
      <w:r w:rsidR="00054383" w:rsidRPr="00F94366">
        <w:rPr>
          <w:rFonts w:cs="Times New Roman"/>
          <w:lang w:val="de-DE"/>
        </w:rPr>
        <w:t xml:space="preserve">a) </w:t>
      </w:r>
      <w:r w:rsidR="00054383" w:rsidRPr="00F94366">
        <w:rPr>
          <w:rFonts w:cs="Times New Roman"/>
          <w:lang w:val="de-DE"/>
        </w:rPr>
        <w:t>被告主张反垄断抗辩；</w:t>
      </w:r>
    </w:p>
    <w:p w14:paraId="4C8F516A" w14:textId="77777777" w:rsidR="00F3238D" w:rsidRDefault="00054383" w:rsidP="00F94366">
      <w:pPr>
        <w:widowControl/>
        <w:snapToGrid w:val="0"/>
        <w:spacing w:line="360" w:lineRule="auto"/>
        <w:ind w:firstLineChars="200" w:firstLine="480"/>
        <w:rPr>
          <w:rFonts w:cs="Times New Roman"/>
          <w:lang w:val="de-DE"/>
        </w:rPr>
      </w:pPr>
      <w:r w:rsidRPr="00F94366">
        <w:rPr>
          <w:rFonts w:cs="Times New Roman"/>
          <w:lang w:val="de-DE"/>
        </w:rPr>
        <w:t xml:space="preserve">b) </w:t>
      </w:r>
      <w:r w:rsidRPr="00F94366">
        <w:rPr>
          <w:rFonts w:cs="Times New Roman"/>
          <w:lang w:val="de-DE"/>
        </w:rPr>
        <w:t>专利权人在诉讼中主张停止侵害、召回侵权产品以及销毁侵权产品三个请求权中的至少一个；</w:t>
      </w:r>
    </w:p>
    <w:p w14:paraId="30AC43E3" w14:textId="31A97236" w:rsidR="00054383" w:rsidRPr="00F94366" w:rsidRDefault="00054383" w:rsidP="00F94366">
      <w:pPr>
        <w:widowControl/>
        <w:snapToGrid w:val="0"/>
        <w:spacing w:line="360" w:lineRule="auto"/>
        <w:ind w:firstLineChars="200" w:firstLine="480"/>
        <w:rPr>
          <w:rFonts w:cs="Times New Roman"/>
          <w:lang w:val="de-DE"/>
        </w:rPr>
      </w:pPr>
      <w:r w:rsidRPr="00F94366">
        <w:rPr>
          <w:rFonts w:cs="Times New Roman"/>
          <w:lang w:val="de-DE"/>
        </w:rPr>
        <w:t xml:space="preserve">c) </w:t>
      </w:r>
      <w:r w:rsidRPr="00F94366">
        <w:rPr>
          <w:rFonts w:cs="Times New Roman"/>
          <w:lang w:val="de-DE"/>
        </w:rPr>
        <w:t>被告</w:t>
      </w:r>
      <w:r w:rsidRPr="00F94366">
        <w:rPr>
          <w:rFonts w:cs="Times New Roman"/>
          <w:lang w:val="de-DE"/>
        </w:rPr>
        <w:t>——</w:t>
      </w:r>
      <w:r w:rsidRPr="00F94366">
        <w:rPr>
          <w:rFonts w:cs="Times New Roman"/>
          <w:lang w:val="de-DE"/>
        </w:rPr>
        <w:t>在专利权人向被告提出了一个许可要约（该要约至少包括了嗣后的诉争专利）且该许可要约未被接受的情况下</w:t>
      </w:r>
      <w:r w:rsidRPr="00F94366">
        <w:rPr>
          <w:rFonts w:cs="Times New Roman"/>
          <w:lang w:val="de-DE"/>
        </w:rPr>
        <w:t>——</w:t>
      </w:r>
      <w:r w:rsidRPr="00F94366">
        <w:rPr>
          <w:rFonts w:cs="Times New Roman"/>
          <w:lang w:val="de-DE"/>
        </w:rPr>
        <w:t>向专利权人提出了一个反要约（该反要约也至少包括了嗣后的诉争专利），且在反要约被专利权人拒绝后披露了自己的使用情况并提供了担保；</w:t>
      </w:r>
    </w:p>
    <w:p w14:paraId="5BB52B56" w14:textId="77777777" w:rsidR="00054383" w:rsidRPr="00F94366" w:rsidRDefault="00054383" w:rsidP="00F94366">
      <w:pPr>
        <w:widowControl/>
        <w:snapToGrid w:val="0"/>
        <w:spacing w:line="360" w:lineRule="auto"/>
        <w:ind w:firstLineChars="200" w:firstLine="480"/>
        <w:rPr>
          <w:rFonts w:cs="Times New Roman"/>
          <w:lang w:val="de-DE"/>
        </w:rPr>
      </w:pPr>
      <w:r w:rsidRPr="00F94366">
        <w:rPr>
          <w:rFonts w:cs="Times New Roman"/>
          <w:lang w:val="de-DE"/>
        </w:rPr>
        <w:t xml:space="preserve">d) </w:t>
      </w:r>
      <w:r w:rsidRPr="00F94366">
        <w:rPr>
          <w:rFonts w:cs="Times New Roman"/>
          <w:lang w:val="de-DE"/>
        </w:rPr>
        <w:t>如果被告与专利权人</w:t>
      </w:r>
      <w:r w:rsidR="00522BE1" w:rsidRPr="00F94366">
        <w:rPr>
          <w:rFonts w:cs="Times New Roman"/>
          <w:lang w:val="de-DE"/>
        </w:rPr>
        <w:t>双方</w:t>
      </w:r>
      <w:r w:rsidRPr="00F94366">
        <w:rPr>
          <w:rFonts w:cs="Times New Roman"/>
          <w:lang w:val="de-DE"/>
        </w:rPr>
        <w:t>已经缔结了许可合同，但被告单方面解除合同或者因可归咎于被告的原因导致合同终止，例如被告迟延给付许可费，则被告无权主张反垄断抗辩；</w:t>
      </w:r>
    </w:p>
    <w:p w14:paraId="504C7435" w14:textId="77777777" w:rsidR="00624666" w:rsidRPr="00931219" w:rsidRDefault="00624666" w:rsidP="00F94366">
      <w:pPr>
        <w:widowControl/>
        <w:snapToGrid w:val="0"/>
        <w:spacing w:afterLines="100" w:after="423" w:line="360" w:lineRule="auto"/>
        <w:ind w:firstLineChars="200" w:firstLine="480"/>
        <w:rPr>
          <w:rFonts w:ascii="宋体" w:hAnsi="宋体" w:cs="宋体"/>
          <w:lang w:val="de-DE"/>
        </w:rPr>
      </w:pPr>
      <w:r w:rsidRPr="00F94366">
        <w:rPr>
          <w:rFonts w:cs="Times New Roman"/>
          <w:lang w:val="de-DE"/>
        </w:rPr>
        <w:t xml:space="preserve">e) </w:t>
      </w:r>
      <w:r w:rsidRPr="00F94366">
        <w:rPr>
          <w:rFonts w:cs="Times New Roman"/>
          <w:lang w:val="de-DE"/>
        </w:rPr>
        <w:t>如果专利权人的要约中包括了某项的专利，但被告在提出的反要约中并没有</w:t>
      </w:r>
      <w:r w:rsidRPr="00931219">
        <w:rPr>
          <w:rFonts w:ascii="宋体" w:hAnsi="宋体" w:cs="宋体" w:hint="eastAsia"/>
          <w:lang w:val="de-DE"/>
        </w:rPr>
        <w:t>包括该项专利，在这样的情况下，被告不得就该项专利再主张反垄断抗辩</w:t>
      </w:r>
      <w:r w:rsidR="001439CF" w:rsidRPr="00931219">
        <w:rPr>
          <w:rFonts w:ascii="宋体" w:hAnsi="宋体" w:cs="宋体" w:hint="eastAsia"/>
          <w:lang w:val="de-DE"/>
        </w:rPr>
        <w:t>。</w:t>
      </w:r>
    </w:p>
    <w:p w14:paraId="16E7514E" w14:textId="3563B1BA" w:rsidR="00624666" w:rsidRPr="00F94366" w:rsidRDefault="006D6215" w:rsidP="000312F4">
      <w:pPr>
        <w:widowControl/>
        <w:snapToGrid w:val="0"/>
        <w:spacing w:afterLines="100" w:after="423" w:line="360" w:lineRule="auto"/>
        <w:rPr>
          <w:rFonts w:cs="Times New Roman"/>
          <w:lang w:val="de-DE"/>
        </w:rPr>
      </w:pPr>
      <w:r>
        <w:rPr>
          <w:rFonts w:cs="Times New Roman"/>
          <w:color w:val="A6A6A6" w:themeColor="background1" w:themeShade="A6"/>
          <w:lang w:val="de-DE"/>
        </w:rPr>
        <w:t xml:space="preserve">    </w:t>
      </w:r>
      <w:r w:rsidR="00624666" w:rsidRPr="00F94366">
        <w:rPr>
          <w:rFonts w:cs="Times New Roman"/>
          <w:lang w:val="de-DE"/>
        </w:rPr>
        <w:t>关于</w:t>
      </w:r>
      <w:r w:rsidR="00624666" w:rsidRPr="00F94366">
        <w:rPr>
          <w:rFonts w:cs="Times New Roman"/>
          <w:lang w:val="de-DE"/>
        </w:rPr>
        <w:t>a</w:t>
      </w:r>
      <w:r w:rsidR="00624666" w:rsidRPr="00F94366">
        <w:rPr>
          <w:rFonts w:cs="Times New Roman"/>
          <w:lang w:val="de-DE"/>
        </w:rPr>
        <w:t>）</w:t>
      </w:r>
      <w:r w:rsidR="00EC166B" w:rsidRPr="00F94366">
        <w:rPr>
          <w:rFonts w:cs="Times New Roman"/>
          <w:lang w:val="de-DE"/>
        </w:rPr>
        <w:t xml:space="preserve"> </w:t>
      </w:r>
      <w:r w:rsidR="00054383" w:rsidRPr="00F94366">
        <w:rPr>
          <w:rFonts w:cs="Times New Roman"/>
          <w:lang w:val="de-DE"/>
        </w:rPr>
        <w:t>被告应尽早提出反垄断抗辩，一般来说在应诉答辩中提起为宜</w:t>
      </w:r>
      <w:r w:rsidR="001439CF" w:rsidRPr="00F94366">
        <w:rPr>
          <w:rFonts w:cs="Times New Roman"/>
          <w:lang w:val="de-DE"/>
        </w:rPr>
        <w:t>。</w:t>
      </w:r>
    </w:p>
    <w:p w14:paraId="4392C852" w14:textId="201343AD" w:rsidR="001439CF" w:rsidRPr="00931219" w:rsidRDefault="006D6215" w:rsidP="00F94366">
      <w:pPr>
        <w:widowControl/>
        <w:snapToGrid w:val="0"/>
        <w:spacing w:line="360" w:lineRule="auto"/>
        <w:rPr>
          <w:rFonts w:ascii="宋体" w:hAnsi="宋体" w:cs="宋体"/>
          <w:lang w:val="de-DE"/>
        </w:rPr>
      </w:pPr>
      <w:r>
        <w:rPr>
          <w:rFonts w:cs="Times New Roman"/>
          <w:color w:val="A6A6A6" w:themeColor="background1" w:themeShade="A6"/>
          <w:lang w:val="de-DE"/>
        </w:rPr>
        <w:t xml:space="preserve">    </w:t>
      </w:r>
      <w:r w:rsidR="001439CF" w:rsidRPr="00F94366">
        <w:rPr>
          <w:rFonts w:cs="Times New Roman"/>
          <w:lang w:val="de-DE"/>
        </w:rPr>
        <w:t>关于</w:t>
      </w:r>
      <w:r w:rsidR="001439CF" w:rsidRPr="00F94366">
        <w:rPr>
          <w:rFonts w:cs="Times New Roman"/>
          <w:lang w:val="de-DE"/>
        </w:rPr>
        <w:t xml:space="preserve">c)  </w:t>
      </w:r>
      <w:r w:rsidR="00EC166B" w:rsidRPr="00F94366">
        <w:rPr>
          <w:rFonts w:cs="Times New Roman"/>
          <w:lang w:val="de-DE"/>
        </w:rPr>
        <w:t xml:space="preserve"> </w:t>
      </w:r>
      <w:r w:rsidR="001439CF" w:rsidRPr="00F94366">
        <w:rPr>
          <w:rFonts w:cs="Times New Roman"/>
          <w:lang w:val="de-DE"/>
        </w:rPr>
        <w:t>根据《德国民法典》第</w:t>
      </w:r>
      <w:r w:rsidR="001439CF" w:rsidRPr="00F94366">
        <w:rPr>
          <w:rFonts w:cs="Times New Roman"/>
          <w:lang w:val="de-DE"/>
        </w:rPr>
        <w:t>242</w:t>
      </w:r>
      <w:r w:rsidR="001439CF" w:rsidRPr="00F94366">
        <w:rPr>
          <w:rFonts w:cs="Times New Roman"/>
          <w:lang w:val="de-DE"/>
        </w:rPr>
        <w:t>条的诚实信用原则，专利权人</w:t>
      </w:r>
      <w:r w:rsidR="00603107" w:rsidRPr="00F94366">
        <w:rPr>
          <w:rFonts w:cs="Times New Roman"/>
          <w:lang w:val="de-DE"/>
        </w:rPr>
        <w:t>在</w:t>
      </w:r>
      <w:r w:rsidR="001439CF" w:rsidRPr="00F94366">
        <w:rPr>
          <w:rFonts w:cs="Times New Roman"/>
          <w:lang w:val="de-DE"/>
        </w:rPr>
        <w:t>要约</w:t>
      </w:r>
      <w:r w:rsidR="00603107" w:rsidRPr="00F94366">
        <w:rPr>
          <w:rFonts w:cs="Times New Roman"/>
          <w:lang w:val="de-DE"/>
        </w:rPr>
        <w:t>中提出的</w:t>
      </w:r>
      <w:r w:rsidR="001439CF" w:rsidRPr="00F94366">
        <w:rPr>
          <w:rFonts w:cs="Times New Roman"/>
          <w:lang w:val="de-DE"/>
        </w:rPr>
        <w:t>条件不</w:t>
      </w:r>
      <w:r w:rsidR="00603107" w:rsidRPr="00F94366">
        <w:rPr>
          <w:rFonts w:cs="Times New Roman"/>
          <w:lang w:val="de-DE"/>
        </w:rPr>
        <w:t>能是另一方完全难以接受的。同理，</w:t>
      </w:r>
      <w:r w:rsidR="003A48B6" w:rsidRPr="00F94366">
        <w:rPr>
          <w:rFonts w:cs="Times New Roman"/>
          <w:lang w:val="de-DE"/>
        </w:rPr>
        <w:t>被告</w:t>
      </w:r>
      <w:r w:rsidR="00603107" w:rsidRPr="00F94366">
        <w:rPr>
          <w:rFonts w:cs="Times New Roman"/>
          <w:lang w:val="de-DE"/>
        </w:rPr>
        <w:t>在反要约</w:t>
      </w:r>
      <w:r w:rsidR="00EC166B" w:rsidRPr="00F94366">
        <w:rPr>
          <w:rFonts w:cs="Times New Roman"/>
          <w:lang w:val="de-DE"/>
        </w:rPr>
        <w:t>中</w:t>
      </w:r>
      <w:r w:rsidR="00603107" w:rsidRPr="00F94366">
        <w:rPr>
          <w:rFonts w:cs="Times New Roman"/>
          <w:lang w:val="de-DE"/>
        </w:rPr>
        <w:t>提出的条件也应</w:t>
      </w:r>
      <w:r w:rsidR="00F3599A" w:rsidRPr="00F94366">
        <w:rPr>
          <w:rFonts w:cs="Times New Roman"/>
          <w:lang w:val="de-DE"/>
        </w:rPr>
        <w:t>符合这一</w:t>
      </w:r>
      <w:r w:rsidR="00B51C25" w:rsidRPr="00F94366">
        <w:rPr>
          <w:rFonts w:cs="Times New Roman"/>
          <w:lang w:val="de-DE"/>
        </w:rPr>
        <w:t>条件</w:t>
      </w:r>
      <w:r w:rsidR="00603107" w:rsidRPr="00F94366">
        <w:rPr>
          <w:rFonts w:cs="Times New Roman"/>
          <w:lang w:val="de-DE"/>
        </w:rPr>
        <w:t>。该反要约可以在许可期限和许可内容上进行缩减，但必须将（嗣后）诉争专利包括在内。</w:t>
      </w:r>
      <w:r w:rsidR="00EC166B" w:rsidRPr="00F94366">
        <w:rPr>
          <w:rFonts w:cs="Times New Roman"/>
          <w:lang w:val="de-DE"/>
        </w:rPr>
        <w:t>同时</w:t>
      </w:r>
      <w:r w:rsidR="003A48B6" w:rsidRPr="00F94366">
        <w:rPr>
          <w:rFonts w:cs="Times New Roman"/>
          <w:lang w:val="de-DE"/>
        </w:rPr>
        <w:t>，被告可以保留在现在或将来</w:t>
      </w:r>
      <w:r w:rsidR="00EC166B" w:rsidRPr="00F94366">
        <w:rPr>
          <w:rFonts w:cs="Times New Roman"/>
          <w:lang w:val="de-DE"/>
        </w:rPr>
        <w:t>对被许可的专利主张无效或者</w:t>
      </w:r>
      <w:r w:rsidR="00B51C25" w:rsidRPr="00F94366">
        <w:rPr>
          <w:rFonts w:cs="Times New Roman"/>
          <w:lang w:val="de-DE"/>
        </w:rPr>
        <w:t>提出</w:t>
      </w:r>
      <w:r w:rsidR="00EC166B" w:rsidRPr="00F94366">
        <w:rPr>
          <w:rFonts w:cs="Times New Roman"/>
          <w:lang w:val="de-DE"/>
        </w:rPr>
        <w:t>未使用该专利</w:t>
      </w:r>
      <w:r w:rsidR="00B51C25" w:rsidRPr="00F94366">
        <w:rPr>
          <w:rFonts w:cs="Times New Roman"/>
          <w:lang w:val="de-DE"/>
        </w:rPr>
        <w:t>进行抗辩</w:t>
      </w:r>
      <w:r w:rsidR="00AB422E" w:rsidRPr="00F94366">
        <w:rPr>
          <w:rFonts w:cs="Times New Roman"/>
          <w:lang w:val="de-DE"/>
        </w:rPr>
        <w:t>的可能</w:t>
      </w:r>
      <w:r w:rsidR="00EC166B" w:rsidRPr="00F94366">
        <w:rPr>
          <w:rFonts w:cs="Times New Roman"/>
          <w:lang w:val="de-DE"/>
        </w:rPr>
        <w:t>。此外，被告可</w:t>
      </w:r>
      <w:r w:rsidR="00AB422E" w:rsidRPr="00F94366">
        <w:rPr>
          <w:rFonts w:cs="Times New Roman"/>
          <w:lang w:val="de-DE"/>
        </w:rPr>
        <w:t>以</w:t>
      </w:r>
      <w:proofErr w:type="gramStart"/>
      <w:r w:rsidR="00EC166B" w:rsidRPr="00F94366">
        <w:rPr>
          <w:rFonts w:cs="Times New Roman"/>
          <w:lang w:val="de-DE"/>
        </w:rPr>
        <w:t>不在反</w:t>
      </w:r>
      <w:proofErr w:type="gramEnd"/>
      <w:r w:rsidR="00EC166B" w:rsidRPr="00F94366">
        <w:rPr>
          <w:rFonts w:cs="Times New Roman"/>
          <w:lang w:val="de-DE"/>
        </w:rPr>
        <w:t>要约中提出</w:t>
      </w:r>
      <w:r w:rsidR="00AB422E" w:rsidRPr="00F94366">
        <w:rPr>
          <w:rFonts w:cs="Times New Roman"/>
          <w:lang w:val="de-DE"/>
        </w:rPr>
        <w:t>一个</w:t>
      </w:r>
      <w:r w:rsidR="00EC166B" w:rsidRPr="00F94366">
        <w:rPr>
          <w:rFonts w:cs="Times New Roman"/>
          <w:lang w:val="de-DE"/>
        </w:rPr>
        <w:t>具体的许可费率，取而代之根据《德国民法典》第</w:t>
      </w:r>
      <w:r w:rsidR="00EC166B" w:rsidRPr="00F94366">
        <w:rPr>
          <w:rFonts w:cs="Times New Roman"/>
          <w:lang w:val="de-DE"/>
        </w:rPr>
        <w:t>315</w:t>
      </w:r>
      <w:r w:rsidR="00EC166B" w:rsidRPr="00F94366">
        <w:rPr>
          <w:rFonts w:cs="Times New Roman"/>
          <w:lang w:val="de-DE"/>
        </w:rPr>
        <w:t>条</w:t>
      </w:r>
      <w:r w:rsidR="002D0463" w:rsidRPr="00F94366">
        <w:rPr>
          <w:rFonts w:cs="Times New Roman"/>
          <w:lang w:val="de-DE"/>
        </w:rPr>
        <w:t>要求</w:t>
      </w:r>
      <w:r w:rsidR="00FC3BDC" w:rsidRPr="00F94366">
        <w:rPr>
          <w:rFonts w:cs="Times New Roman"/>
          <w:lang w:val="de-DE"/>
        </w:rPr>
        <w:t>专利权</w:t>
      </w:r>
      <w:r w:rsidR="00FC3BDC" w:rsidRPr="00931219">
        <w:rPr>
          <w:rFonts w:ascii="宋体" w:hAnsi="宋体" w:cs="宋体" w:hint="eastAsia"/>
          <w:lang w:val="de-DE"/>
        </w:rPr>
        <w:t>人</w:t>
      </w:r>
      <w:r w:rsidR="002D0463" w:rsidRPr="00931219">
        <w:rPr>
          <w:rFonts w:ascii="宋体" w:hAnsi="宋体" w:cs="宋体" w:hint="eastAsia"/>
          <w:lang w:val="de-DE"/>
        </w:rPr>
        <w:lastRenderedPageBreak/>
        <w:t>重新</w:t>
      </w:r>
      <w:r w:rsidR="00FC3BDC" w:rsidRPr="00931219">
        <w:rPr>
          <w:rFonts w:ascii="宋体" w:hAnsi="宋体" w:cs="宋体" w:hint="eastAsia"/>
          <w:lang w:val="de-DE"/>
        </w:rPr>
        <w:t>确定具体的</w:t>
      </w:r>
      <w:r w:rsidR="002D0463" w:rsidRPr="00931219">
        <w:rPr>
          <w:rFonts w:ascii="宋体" w:hAnsi="宋体" w:cs="宋体" w:hint="eastAsia"/>
          <w:lang w:val="de-DE"/>
        </w:rPr>
        <w:t>许可费率</w:t>
      </w:r>
      <w:r w:rsidR="00FC3BDC" w:rsidRPr="00931219">
        <w:rPr>
          <w:rFonts w:ascii="宋体" w:hAnsi="宋体" w:cs="宋体" w:hint="eastAsia"/>
          <w:lang w:val="de-DE"/>
        </w:rPr>
        <w:t>。</w:t>
      </w:r>
      <w:r w:rsidR="002D0463" w:rsidRPr="00931219">
        <w:rPr>
          <w:rFonts w:ascii="宋体" w:hAnsi="宋体" w:cs="宋体" w:hint="eastAsia"/>
          <w:lang w:val="de-DE"/>
        </w:rPr>
        <w:t>如果被告在反要约中提出了具体的许可费率，则</w:t>
      </w:r>
      <w:r w:rsidR="00EE420B" w:rsidRPr="00931219">
        <w:rPr>
          <w:rFonts w:ascii="宋体" w:hAnsi="宋体" w:cs="宋体" w:hint="eastAsia"/>
          <w:lang w:val="de-DE"/>
        </w:rPr>
        <w:t>被告至少要以其在反要约中所提出的许可费率为准，来披露并估算其自首次使用起至一审判决</w:t>
      </w:r>
      <w:proofErr w:type="gramStart"/>
      <w:r w:rsidR="00EE420B" w:rsidRPr="00931219">
        <w:rPr>
          <w:rFonts w:ascii="宋体" w:hAnsi="宋体" w:cs="宋体" w:hint="eastAsia"/>
          <w:lang w:val="de-DE"/>
        </w:rPr>
        <w:t>作出</w:t>
      </w:r>
      <w:proofErr w:type="gramEnd"/>
      <w:r w:rsidR="00EE420B" w:rsidRPr="00931219">
        <w:rPr>
          <w:rFonts w:ascii="宋体" w:hAnsi="宋体" w:cs="宋体" w:hint="eastAsia"/>
          <w:lang w:val="de-DE"/>
        </w:rPr>
        <w:t>这段时间内使用相关专利</w:t>
      </w:r>
      <w:r w:rsidR="00EE420B" w:rsidRPr="00F94366">
        <w:rPr>
          <w:rFonts w:cs="Times New Roman"/>
          <w:lang w:val="de-DE"/>
        </w:rPr>
        <w:t>的情况并对价款进行提存。如果被告在反要约中未提出具体许可费率，则被告应以专利权人在要约中提出的许可费率为准对使用情况进行披露并相应地对价款进行提存。</w:t>
      </w:r>
      <w:r w:rsidR="003B04C0" w:rsidRPr="00F94366">
        <w:rPr>
          <w:rFonts w:cs="Times New Roman"/>
          <w:lang w:val="de-DE"/>
        </w:rPr>
        <w:t>如果诉讼双方的要约和反要约的效力及于全球市场，对使用情况的披露以及相关的提存</w:t>
      </w:r>
      <w:r w:rsidR="00522BE1" w:rsidRPr="00F94366">
        <w:rPr>
          <w:rFonts w:cs="Times New Roman"/>
          <w:lang w:val="de-DE"/>
        </w:rPr>
        <w:t>数额以德国市场为限，一般要求按德国市场营业额的</w:t>
      </w:r>
      <w:r w:rsidR="00522BE1" w:rsidRPr="00F94366">
        <w:rPr>
          <w:rFonts w:cs="Times New Roman"/>
          <w:lang w:val="de-DE"/>
        </w:rPr>
        <w:t>110%</w:t>
      </w:r>
      <w:r w:rsidR="00522BE1" w:rsidRPr="00F94366">
        <w:rPr>
          <w:rFonts w:cs="Times New Roman"/>
          <w:lang w:val="de-DE"/>
        </w:rPr>
        <w:t>的数额进行</w:t>
      </w:r>
      <w:r w:rsidR="00522BE1" w:rsidRPr="00931219">
        <w:rPr>
          <w:rFonts w:ascii="宋体" w:hAnsi="宋体" w:cs="宋体" w:hint="eastAsia"/>
          <w:lang w:val="de-DE"/>
        </w:rPr>
        <w:t>提存。</w:t>
      </w:r>
    </w:p>
    <w:p w14:paraId="26E9F561" w14:textId="77777777" w:rsidR="00844CF1" w:rsidRPr="00931219" w:rsidRDefault="00844CF1" w:rsidP="00F94366">
      <w:pPr>
        <w:pStyle w:val="ac"/>
        <w:spacing w:beforeLines="50" w:before="211" w:afterLines="50" w:after="211"/>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【译者注】</w:t>
      </w:r>
    </w:p>
    <w:p w14:paraId="6ACC7566" w14:textId="035DE13D" w:rsidR="00844CF1" w:rsidRPr="00931219" w:rsidRDefault="00844CF1" w:rsidP="00F94366">
      <w:pPr>
        <w:pStyle w:val="ac"/>
        <w:spacing w:afterLines="50" w:after="211"/>
        <w:ind w:firstLineChars="200" w:firstLine="480"/>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关</w:t>
      </w:r>
      <w:r w:rsidRPr="00F94366">
        <w:rPr>
          <w:rFonts w:cs="Times New Roman"/>
          <w:color w:val="2E74B5" w:themeColor="accent5" w:themeShade="BF"/>
          <w:lang w:val="en-GB"/>
        </w:rPr>
        <w:t>于《德国民法典》第</w:t>
      </w:r>
      <w:r w:rsidRPr="00F94366">
        <w:rPr>
          <w:rFonts w:cs="Times New Roman"/>
          <w:color w:val="2E74B5" w:themeColor="accent5" w:themeShade="BF"/>
          <w:lang w:val="en-GB"/>
        </w:rPr>
        <w:t>315</w:t>
      </w:r>
      <w:r w:rsidRPr="00F94366">
        <w:rPr>
          <w:rFonts w:cs="Times New Roman"/>
          <w:color w:val="2E74B5" w:themeColor="accent5" w:themeShade="BF"/>
          <w:lang w:val="en-GB"/>
        </w:rPr>
        <w:t>条的理解，参见罗歇尔德斯著，沈小军等译，《德国债法总论》（第</w:t>
      </w:r>
      <w:r w:rsidRPr="00F94366">
        <w:rPr>
          <w:rFonts w:cs="Times New Roman"/>
          <w:color w:val="2E74B5" w:themeColor="accent5" w:themeShade="BF"/>
          <w:lang w:val="en-GB"/>
        </w:rPr>
        <w:t>7</w:t>
      </w:r>
      <w:r w:rsidRPr="00F94366">
        <w:rPr>
          <w:rFonts w:cs="Times New Roman"/>
          <w:color w:val="2E74B5" w:themeColor="accent5" w:themeShade="BF"/>
          <w:lang w:val="en-GB"/>
        </w:rPr>
        <w:t>版），页边码</w:t>
      </w:r>
      <w:r w:rsidRPr="00F94366">
        <w:rPr>
          <w:rFonts w:cs="Times New Roman"/>
          <w:color w:val="2E74B5" w:themeColor="accent5" w:themeShade="BF"/>
          <w:lang w:val="en-GB"/>
        </w:rPr>
        <w:t>240</w:t>
      </w:r>
      <w:r w:rsidRPr="00F94366">
        <w:rPr>
          <w:rFonts w:cs="Times New Roman"/>
          <w:color w:val="2E74B5" w:themeColor="accent5" w:themeShade="BF"/>
          <w:lang w:val="en-GB"/>
        </w:rPr>
        <w:t>以</w:t>
      </w:r>
      <w:r w:rsidRPr="00931219">
        <w:rPr>
          <w:rFonts w:ascii="宋体" w:hAnsi="宋体" w:cs="宋体" w:hint="eastAsia"/>
          <w:color w:val="2E74B5" w:themeColor="accent5" w:themeShade="BF"/>
          <w:lang w:val="en-GB"/>
        </w:rPr>
        <w:t>下。</w:t>
      </w:r>
    </w:p>
    <w:p w14:paraId="51D5B75E" w14:textId="3D9DA35B" w:rsidR="00522BE1" w:rsidRPr="00931219" w:rsidRDefault="006D6215" w:rsidP="000312F4">
      <w:pPr>
        <w:widowControl/>
        <w:snapToGrid w:val="0"/>
        <w:spacing w:afterLines="100" w:after="423" w:line="360" w:lineRule="auto"/>
        <w:rPr>
          <w:rFonts w:ascii="宋体" w:hAnsi="宋体" w:cs="宋体"/>
          <w:lang w:val="de-DE"/>
        </w:rPr>
      </w:pPr>
      <w:r>
        <w:rPr>
          <w:rFonts w:ascii="Georgia" w:hAnsi="Georgia" w:cs="宋体"/>
          <w:color w:val="A6A6A6" w:themeColor="background1" w:themeShade="A6"/>
          <w:lang w:val="en-GB"/>
        </w:rPr>
        <w:t xml:space="preserve">    </w:t>
      </w:r>
      <w:r w:rsidR="00522BE1" w:rsidRPr="00931219">
        <w:rPr>
          <w:rFonts w:ascii="宋体" w:hAnsi="宋体" w:cs="宋体" w:hint="eastAsia"/>
          <w:lang w:val="de-DE"/>
        </w:rPr>
        <w:t>关</w:t>
      </w:r>
      <w:r w:rsidR="00522BE1" w:rsidRPr="00F94366">
        <w:rPr>
          <w:rFonts w:cs="Times New Roman"/>
          <w:lang w:val="de-DE"/>
        </w:rPr>
        <w:t>于</w:t>
      </w:r>
      <w:r w:rsidR="00522BE1" w:rsidRPr="00F94366">
        <w:rPr>
          <w:rFonts w:cs="Times New Roman"/>
          <w:lang w:val="de-DE"/>
        </w:rPr>
        <w:t>d</w:t>
      </w:r>
      <w:r w:rsidR="00522BE1" w:rsidRPr="00F94366">
        <w:rPr>
          <w:rFonts w:cs="Times New Roman"/>
          <w:lang w:val="de-DE"/>
        </w:rPr>
        <w:t>）</w:t>
      </w:r>
      <w:r w:rsidR="00522BE1" w:rsidRPr="00F94366">
        <w:rPr>
          <w:rFonts w:cs="Times New Roman"/>
          <w:lang w:val="de-DE"/>
        </w:rPr>
        <w:t xml:space="preserve">  </w:t>
      </w:r>
      <w:proofErr w:type="gramStart"/>
      <w:r w:rsidR="00522BE1" w:rsidRPr="00F94366">
        <w:rPr>
          <w:rFonts w:cs="Times New Roman"/>
          <w:lang w:val="de-DE"/>
        </w:rPr>
        <w:t>此处还</w:t>
      </w:r>
      <w:proofErr w:type="gramEnd"/>
      <w:r w:rsidR="00522BE1" w:rsidRPr="00931219">
        <w:rPr>
          <w:rFonts w:ascii="宋体" w:hAnsi="宋体" w:cs="宋体" w:hint="eastAsia"/>
          <w:lang w:val="de-DE"/>
        </w:rPr>
        <w:t>包括如下情形，双方先前缔结的许可合同</w:t>
      </w:r>
      <w:r w:rsidR="008C5097" w:rsidRPr="00931219">
        <w:rPr>
          <w:rFonts w:ascii="宋体" w:hAnsi="宋体" w:cs="宋体" w:hint="eastAsia"/>
          <w:lang w:val="de-DE"/>
        </w:rPr>
        <w:t>中，就某些专利规定了对使用人有利的退出条款。如果使用人根据</w:t>
      </w:r>
      <w:r w:rsidR="00783221" w:rsidRPr="00931219">
        <w:rPr>
          <w:rFonts w:ascii="宋体" w:hAnsi="宋体" w:cs="宋体" w:hint="eastAsia"/>
          <w:lang w:val="de-DE"/>
        </w:rPr>
        <w:t>这种</w:t>
      </w:r>
      <w:r w:rsidR="008C5097" w:rsidRPr="00931219">
        <w:rPr>
          <w:rFonts w:ascii="宋体" w:hAnsi="宋体" w:cs="宋体" w:hint="eastAsia"/>
          <w:lang w:val="de-DE"/>
        </w:rPr>
        <w:t>退出条款，就相关专利</w:t>
      </w:r>
      <w:r w:rsidR="00783221" w:rsidRPr="00931219">
        <w:rPr>
          <w:rFonts w:ascii="宋体" w:hAnsi="宋体" w:cs="宋体" w:hint="eastAsia"/>
          <w:lang w:val="de-DE"/>
        </w:rPr>
        <w:t>解除</w:t>
      </w:r>
      <w:r w:rsidR="008C5097" w:rsidRPr="00931219">
        <w:rPr>
          <w:rFonts w:ascii="宋体" w:hAnsi="宋体" w:cs="宋体" w:hint="eastAsia"/>
          <w:lang w:val="de-DE"/>
        </w:rPr>
        <w:t>许可关系，</w:t>
      </w:r>
      <w:r w:rsidR="00783221" w:rsidRPr="00931219">
        <w:rPr>
          <w:rFonts w:ascii="宋体" w:hAnsi="宋体" w:cs="宋体" w:hint="eastAsia"/>
          <w:lang w:val="de-DE"/>
        </w:rPr>
        <w:t>那么</w:t>
      </w:r>
      <w:r w:rsidR="008C5097" w:rsidRPr="00931219">
        <w:rPr>
          <w:rFonts w:ascii="宋体" w:hAnsi="宋体" w:cs="宋体" w:hint="eastAsia"/>
          <w:lang w:val="de-DE"/>
        </w:rPr>
        <w:t>使用人</w:t>
      </w:r>
      <w:r w:rsidR="00783221" w:rsidRPr="00931219">
        <w:rPr>
          <w:rFonts w:ascii="宋体" w:hAnsi="宋体" w:cs="宋体" w:hint="eastAsia"/>
          <w:lang w:val="de-DE"/>
        </w:rPr>
        <w:t>针对这些专利</w:t>
      </w:r>
      <w:r w:rsidR="008C5097" w:rsidRPr="00931219">
        <w:rPr>
          <w:rFonts w:ascii="宋体" w:hAnsi="宋体" w:cs="宋体" w:hint="eastAsia"/>
          <w:lang w:val="de-DE"/>
        </w:rPr>
        <w:t>也失去了主张反垄断抗辩的权利，因为其以前已经获得了许可。</w:t>
      </w:r>
    </w:p>
    <w:p w14:paraId="0637B3C2" w14:textId="408ED905" w:rsidR="00783221" w:rsidRPr="00931219" w:rsidRDefault="006D6215" w:rsidP="000312F4">
      <w:pPr>
        <w:widowControl/>
        <w:snapToGrid w:val="0"/>
        <w:spacing w:afterLines="100" w:after="423" w:line="360" w:lineRule="auto"/>
        <w:rPr>
          <w:rFonts w:ascii="宋体" w:hAnsi="宋体" w:cs="宋体"/>
          <w:lang w:val="en-GB"/>
        </w:rPr>
      </w:pPr>
      <w:r>
        <w:rPr>
          <w:rFonts w:ascii="Georgia" w:hAnsi="Georgia" w:cs="宋体"/>
          <w:color w:val="A6A6A6" w:themeColor="background1" w:themeShade="A6"/>
          <w:lang w:val="de-DE"/>
        </w:rPr>
        <w:t xml:space="preserve">    </w:t>
      </w:r>
      <w:r w:rsidR="00783221" w:rsidRPr="00931219">
        <w:rPr>
          <w:rFonts w:ascii="宋体" w:hAnsi="宋体" w:cs="宋体" w:hint="eastAsia"/>
          <w:lang w:val="de-DE"/>
        </w:rPr>
        <w:t>关</w:t>
      </w:r>
      <w:r w:rsidR="00783221" w:rsidRPr="00F94366">
        <w:rPr>
          <w:rFonts w:cs="Times New Roman"/>
          <w:lang w:val="de-DE"/>
        </w:rPr>
        <w:t>于</w:t>
      </w:r>
      <w:r w:rsidR="00783221" w:rsidRPr="00F94366">
        <w:rPr>
          <w:rFonts w:cs="Times New Roman"/>
          <w:lang w:val="de-DE"/>
        </w:rPr>
        <w:t>e</w:t>
      </w:r>
      <w:r w:rsidR="00783221" w:rsidRPr="00F94366">
        <w:rPr>
          <w:rFonts w:cs="Times New Roman"/>
          <w:lang w:val="de-DE"/>
        </w:rPr>
        <w:t>）</w:t>
      </w:r>
      <w:r w:rsidR="00783221" w:rsidRPr="00F94366">
        <w:rPr>
          <w:rFonts w:cs="Times New Roman"/>
          <w:lang w:val="de-DE"/>
        </w:rPr>
        <w:t xml:space="preserve"> </w:t>
      </w:r>
      <w:r w:rsidR="00A00073" w:rsidRPr="00F94366">
        <w:rPr>
          <w:rFonts w:cs="Times New Roman"/>
          <w:lang w:val="en-GB"/>
        </w:rPr>
        <w:t>同理，（如果专利权</w:t>
      </w:r>
      <w:r w:rsidR="00A00073" w:rsidRPr="00931219">
        <w:rPr>
          <w:rFonts w:ascii="宋体" w:hAnsi="宋体" w:cs="宋体" w:hint="eastAsia"/>
          <w:lang w:val="en-GB"/>
        </w:rPr>
        <w:t>人在要约中包括了嗣后的诉争专利，但）被</w:t>
      </w:r>
      <w:r w:rsidR="00A00073" w:rsidRPr="00931219">
        <w:rPr>
          <w:rFonts w:ascii="宋体" w:hAnsi="宋体" w:cs="宋体" w:hint="eastAsia"/>
          <w:lang w:val="de-DE"/>
        </w:rPr>
        <w:t>告在提出的反要约中并没有包括该项专利，那么被告针对这项专利也失去了主张反垄断抗辩的权利，因为可以理解为被告在这项专利上已经获得了专利权人的许可。</w:t>
      </w:r>
    </w:p>
    <w:p w14:paraId="397BC9F4" w14:textId="77777777" w:rsidR="001439CF" w:rsidRPr="00F94366" w:rsidRDefault="001810D4" w:rsidP="001439CF">
      <w:pPr>
        <w:pStyle w:val="2"/>
        <w:rPr>
          <w:rFonts w:ascii="Times New Roman" w:hAnsi="Times New Roman" w:cs="Times New Roman"/>
          <w:sz w:val="24"/>
          <w:szCs w:val="24"/>
        </w:rPr>
      </w:pPr>
      <w:bookmarkStart w:id="5" w:name="_Toc33138369"/>
      <w:r w:rsidRPr="00F94366">
        <w:rPr>
          <w:rFonts w:ascii="Times New Roman" w:hAnsi="Times New Roman" w:cs="Times New Roman"/>
          <w:sz w:val="24"/>
          <w:szCs w:val="24"/>
        </w:rPr>
        <w:t>2</w:t>
      </w:r>
      <w:r w:rsidR="00565278" w:rsidRPr="00F94366">
        <w:rPr>
          <w:rFonts w:ascii="Times New Roman" w:hAnsi="Times New Roman" w:cs="Times New Roman"/>
          <w:sz w:val="24"/>
          <w:szCs w:val="24"/>
        </w:rPr>
        <w:t xml:space="preserve">. </w:t>
      </w:r>
      <w:r w:rsidR="001439CF" w:rsidRPr="00F94366">
        <w:rPr>
          <w:rFonts w:ascii="Times New Roman" w:hAnsi="Times New Roman" w:cs="Times New Roman"/>
          <w:sz w:val="24"/>
          <w:szCs w:val="24"/>
        </w:rPr>
        <w:t>在什么条件下可以</w:t>
      </w:r>
      <w:proofErr w:type="gramStart"/>
      <w:r w:rsidR="00565278" w:rsidRPr="00F94366">
        <w:rPr>
          <w:rFonts w:ascii="Times New Roman" w:hAnsi="Times New Roman" w:cs="Times New Roman"/>
          <w:sz w:val="24"/>
          <w:szCs w:val="24"/>
        </w:rPr>
        <w:t>于首次</w:t>
      </w:r>
      <w:proofErr w:type="gramEnd"/>
      <w:r w:rsidR="00565278" w:rsidRPr="00F94366">
        <w:rPr>
          <w:rFonts w:ascii="Times New Roman" w:hAnsi="Times New Roman" w:cs="Times New Roman"/>
          <w:sz w:val="24"/>
          <w:szCs w:val="24"/>
        </w:rPr>
        <w:t>庭前会议即</w:t>
      </w:r>
      <w:r w:rsidR="001439CF" w:rsidRPr="00F94366">
        <w:rPr>
          <w:rFonts w:ascii="Times New Roman" w:hAnsi="Times New Roman" w:cs="Times New Roman"/>
          <w:sz w:val="24"/>
          <w:szCs w:val="24"/>
        </w:rPr>
        <w:t>开始讨论</w:t>
      </w:r>
      <w:r w:rsidR="00565278" w:rsidRPr="00F94366">
        <w:rPr>
          <w:rFonts w:ascii="Times New Roman" w:hAnsi="Times New Roman" w:cs="Times New Roman"/>
          <w:sz w:val="24"/>
          <w:szCs w:val="24"/>
        </w:rPr>
        <w:t>反垄断抗辩</w:t>
      </w:r>
      <w:bookmarkEnd w:id="5"/>
    </w:p>
    <w:p w14:paraId="4C6AAA1E" w14:textId="4E8FEA41" w:rsidR="00D50C53" w:rsidRPr="00F94366" w:rsidRDefault="006D6215" w:rsidP="00D50C53">
      <w:pPr>
        <w:widowControl/>
        <w:snapToGrid w:val="0"/>
        <w:spacing w:line="360" w:lineRule="auto"/>
        <w:rPr>
          <w:rFonts w:cs="Times New Roman"/>
          <w:bCs/>
          <w:lang w:val="en-GB"/>
        </w:rPr>
      </w:pPr>
      <w:r>
        <w:rPr>
          <w:rFonts w:cs="Times New Roman"/>
          <w:color w:val="BFBFBF" w:themeColor="background1" w:themeShade="BF"/>
          <w:lang w:val="de-DE"/>
        </w:rPr>
        <w:t xml:space="preserve">    </w:t>
      </w:r>
      <w:r w:rsidR="00EE1CF7" w:rsidRPr="00F94366">
        <w:rPr>
          <w:rFonts w:cs="Times New Roman"/>
          <w:lang w:val="en-GB"/>
        </w:rPr>
        <w:t xml:space="preserve">a) </w:t>
      </w:r>
      <w:r w:rsidR="00EE1CF7" w:rsidRPr="00F94366">
        <w:rPr>
          <w:rFonts w:cs="Times New Roman"/>
          <w:lang w:val="en-GB"/>
        </w:rPr>
        <w:t>原告在起诉时</w:t>
      </w:r>
      <w:r w:rsidR="00D50C53" w:rsidRPr="00F94366">
        <w:rPr>
          <w:rFonts w:cs="Times New Roman"/>
          <w:lang w:val="en-GB"/>
        </w:rPr>
        <w:t>即提前对反垄断抗辩做了防御性的陈述；</w:t>
      </w:r>
    </w:p>
    <w:p w14:paraId="330D16B1" w14:textId="77777777" w:rsidR="00D50C53" w:rsidRPr="00931219" w:rsidRDefault="00D50C53" w:rsidP="00F94366">
      <w:pPr>
        <w:widowControl/>
        <w:snapToGrid w:val="0"/>
        <w:spacing w:afterLines="100" w:after="423" w:line="360" w:lineRule="auto"/>
        <w:ind w:firstLineChars="200" w:firstLine="480"/>
        <w:rPr>
          <w:rFonts w:ascii="Georgia" w:hAnsi="Georgia"/>
          <w:bCs/>
          <w:lang w:val="en-GB"/>
        </w:rPr>
      </w:pPr>
      <w:r w:rsidRPr="00F94366">
        <w:rPr>
          <w:rFonts w:cs="Times New Roman"/>
          <w:lang w:val="en-GB"/>
        </w:rPr>
        <w:t xml:space="preserve">b) </w:t>
      </w:r>
      <w:r w:rsidRPr="00F94366">
        <w:rPr>
          <w:rFonts w:cs="Times New Roman"/>
          <w:lang w:val="en-GB"/>
        </w:rPr>
        <w:t>被告在答辩</w:t>
      </w:r>
      <w:r w:rsidRPr="00931219">
        <w:rPr>
          <w:rFonts w:ascii="Georgia" w:hAnsi="Georgia" w:hint="eastAsia"/>
          <w:lang w:val="en-GB"/>
        </w:rPr>
        <w:t>状中即主张反垄断抗辩；</w:t>
      </w:r>
    </w:p>
    <w:p w14:paraId="7904BE2B" w14:textId="420633F2" w:rsidR="00D50C53" w:rsidRPr="00931219" w:rsidRDefault="00B1306F" w:rsidP="000312F4">
      <w:pPr>
        <w:widowControl/>
        <w:snapToGrid w:val="0"/>
        <w:spacing w:afterLines="100" w:after="423" w:line="360" w:lineRule="auto"/>
        <w:rPr>
          <w:rFonts w:ascii="宋体" w:hAnsi="宋体" w:cs="宋体"/>
          <w:lang w:val="en-GB"/>
        </w:rPr>
      </w:pPr>
      <w:r>
        <w:rPr>
          <w:rFonts w:ascii="Georgia" w:hAnsi="Georgia" w:cs="宋体"/>
          <w:color w:val="BFBFBF" w:themeColor="background1" w:themeShade="BF"/>
          <w:lang w:val="en-GB"/>
        </w:rPr>
        <w:t xml:space="preserve">    </w:t>
      </w:r>
      <w:r w:rsidR="00D50C53" w:rsidRPr="00931219">
        <w:rPr>
          <w:rFonts w:ascii="宋体" w:hAnsi="宋体" w:cs="宋体" w:hint="eastAsia"/>
          <w:lang w:val="de-DE"/>
        </w:rPr>
        <w:t>关</w:t>
      </w:r>
      <w:r w:rsidR="00D50C53" w:rsidRPr="00F94366">
        <w:rPr>
          <w:rFonts w:cs="Times New Roman"/>
          <w:lang w:val="de-DE"/>
        </w:rPr>
        <w:t>于</w:t>
      </w:r>
      <w:r w:rsidR="00D50C53" w:rsidRPr="00F94366">
        <w:rPr>
          <w:rFonts w:cs="Times New Roman"/>
          <w:lang w:val="de-DE"/>
        </w:rPr>
        <w:t>a</w:t>
      </w:r>
      <w:r w:rsidR="00D50C53" w:rsidRPr="00F94366">
        <w:rPr>
          <w:rFonts w:cs="Times New Roman"/>
          <w:lang w:val="de-DE"/>
        </w:rPr>
        <w:t>）</w:t>
      </w:r>
      <w:r w:rsidR="00AD05B8" w:rsidRPr="00F94366">
        <w:rPr>
          <w:rFonts w:cs="Times New Roman"/>
          <w:lang w:val="de-DE"/>
        </w:rPr>
        <w:t xml:space="preserve"> </w:t>
      </w:r>
      <w:r w:rsidR="00CA51EE" w:rsidRPr="00F94366">
        <w:rPr>
          <w:rFonts w:cs="Times New Roman"/>
          <w:lang w:val="en-GB"/>
        </w:rPr>
        <w:t>如果</w:t>
      </w:r>
      <w:r w:rsidR="00C325F7" w:rsidRPr="00F94366">
        <w:rPr>
          <w:rFonts w:cs="Times New Roman"/>
          <w:lang w:val="en-GB"/>
        </w:rPr>
        <w:t>原告</w:t>
      </w:r>
      <w:r w:rsidR="00CA51EE" w:rsidRPr="00931219">
        <w:rPr>
          <w:rFonts w:ascii="宋体" w:hAnsi="宋体" w:cs="宋体" w:hint="eastAsia"/>
          <w:lang w:val="en-GB"/>
        </w:rPr>
        <w:t>希望在首次庭前会议上就讨论反垄断抗辩，那么他在起诉书中就应该</w:t>
      </w:r>
      <w:r w:rsidR="00847500" w:rsidRPr="00931219">
        <w:rPr>
          <w:rFonts w:ascii="宋体" w:hAnsi="宋体" w:cs="宋体" w:hint="eastAsia"/>
          <w:lang w:val="en-GB"/>
        </w:rPr>
        <w:t>提前对被告可能提出的反垄断抗辩进行防御性陈述</w:t>
      </w:r>
      <w:r w:rsidR="0080438C" w:rsidRPr="00931219">
        <w:rPr>
          <w:rFonts w:ascii="宋体" w:hAnsi="宋体" w:cs="宋体" w:hint="eastAsia"/>
          <w:lang w:val="en-GB"/>
        </w:rPr>
        <w:t>。</w:t>
      </w:r>
      <w:r w:rsidR="00847500" w:rsidRPr="00931219">
        <w:rPr>
          <w:rFonts w:ascii="宋体" w:hAnsi="宋体" w:cs="宋体" w:hint="eastAsia"/>
          <w:lang w:val="en-GB"/>
        </w:rPr>
        <w:t>对反垄断抗辩进行防御性陈述不</w:t>
      </w:r>
      <w:r w:rsidR="00AD05B8" w:rsidRPr="00931219">
        <w:rPr>
          <w:rFonts w:ascii="宋体" w:hAnsi="宋体" w:cs="宋体" w:hint="eastAsia"/>
          <w:lang w:val="en-GB"/>
        </w:rPr>
        <w:t>以</w:t>
      </w:r>
      <w:r w:rsidR="00847500" w:rsidRPr="00931219">
        <w:rPr>
          <w:rFonts w:ascii="宋体" w:hAnsi="宋体" w:cs="宋体" w:hint="eastAsia"/>
          <w:lang w:val="en-GB"/>
        </w:rPr>
        <w:t>原告</w:t>
      </w:r>
      <w:r w:rsidR="00AD05B8" w:rsidRPr="00931219">
        <w:rPr>
          <w:rFonts w:ascii="宋体" w:hAnsi="宋体" w:cs="宋体" w:hint="eastAsia"/>
          <w:lang w:val="en-GB"/>
        </w:rPr>
        <w:t>自始就主张停止侵害、召回和销毁侵权产品请求权为限</w:t>
      </w:r>
      <w:r w:rsidR="0080438C" w:rsidRPr="00931219">
        <w:rPr>
          <w:rFonts w:ascii="宋体" w:hAnsi="宋体" w:cs="宋体" w:hint="eastAsia"/>
          <w:lang w:val="en-GB"/>
        </w:rPr>
        <w:t>；</w:t>
      </w:r>
      <w:r w:rsidR="00AD05B8" w:rsidRPr="00931219">
        <w:rPr>
          <w:rFonts w:ascii="宋体" w:hAnsi="宋体" w:cs="宋体" w:hint="eastAsia"/>
          <w:lang w:val="en-GB"/>
        </w:rPr>
        <w:t>如果原告（在首次庭前会议上</w:t>
      </w:r>
      <w:r w:rsidR="00FD5EC8" w:rsidRPr="00931219">
        <w:rPr>
          <w:rFonts w:ascii="宋体" w:hAnsi="宋体" w:cs="宋体" w:hint="eastAsia"/>
          <w:lang w:val="en-GB"/>
        </w:rPr>
        <w:t>就</w:t>
      </w:r>
      <w:r w:rsidR="00AD05B8" w:rsidRPr="00931219">
        <w:rPr>
          <w:rFonts w:ascii="宋体" w:hAnsi="宋体" w:cs="宋体" w:hint="eastAsia"/>
          <w:lang w:val="en-GB"/>
        </w:rPr>
        <w:t>事实和争点</w:t>
      </w:r>
      <w:r w:rsidR="000A5473" w:rsidRPr="00931219">
        <w:rPr>
          <w:rFonts w:ascii="宋体" w:hAnsi="宋体" w:cs="宋体" w:hint="eastAsia"/>
          <w:lang w:val="en-GB"/>
        </w:rPr>
        <w:t>进行介绍</w:t>
      </w:r>
      <w:r w:rsidR="00AD05B8" w:rsidRPr="00931219">
        <w:rPr>
          <w:rFonts w:ascii="宋体" w:hAnsi="宋体" w:cs="宋体" w:hint="eastAsia"/>
          <w:lang w:val="en-GB"/>
        </w:rPr>
        <w:t>之后</w:t>
      </w:r>
      <w:r w:rsidR="0017724B" w:rsidRPr="00931219">
        <w:rPr>
          <w:rFonts w:ascii="宋体" w:hAnsi="宋体" w:cs="宋体" w:hint="eastAsia"/>
          <w:lang w:val="en-GB"/>
        </w:rPr>
        <w:t>以书面方式，</w:t>
      </w:r>
      <w:r w:rsidR="000A5473" w:rsidRPr="00931219">
        <w:rPr>
          <w:rFonts w:ascii="宋体" w:hAnsi="宋体" w:cs="宋体" w:hint="eastAsia"/>
          <w:lang w:val="en-GB"/>
        </w:rPr>
        <w:t>或者</w:t>
      </w:r>
      <w:r w:rsidR="0017724B" w:rsidRPr="00931219">
        <w:rPr>
          <w:rFonts w:ascii="宋体" w:hAnsi="宋体" w:cs="宋体" w:hint="eastAsia"/>
          <w:lang w:val="en-GB"/>
        </w:rPr>
        <w:t>在首次庭前会议上口头表示并</w:t>
      </w:r>
      <w:r w:rsidR="000A5473" w:rsidRPr="00931219">
        <w:rPr>
          <w:rFonts w:ascii="宋体" w:hAnsi="宋体" w:cs="宋体" w:hint="eastAsia"/>
          <w:lang w:val="en-GB"/>
        </w:rPr>
        <w:t>最迟在</w:t>
      </w:r>
      <w:r w:rsidR="0080438C" w:rsidRPr="00931219">
        <w:rPr>
          <w:rFonts w:ascii="宋体" w:hAnsi="宋体" w:cs="宋体" w:hint="eastAsia"/>
          <w:lang w:val="en-GB"/>
        </w:rPr>
        <w:t>首次庭前会议与开庭审理两个期日之间</w:t>
      </w:r>
      <w:r w:rsidR="0017724B" w:rsidRPr="00931219">
        <w:rPr>
          <w:rFonts w:ascii="宋体" w:hAnsi="宋体" w:cs="宋体" w:hint="eastAsia"/>
          <w:lang w:val="en-GB"/>
        </w:rPr>
        <w:t>以书面</w:t>
      </w:r>
      <w:r w:rsidR="0017724B" w:rsidRPr="00931219">
        <w:rPr>
          <w:rFonts w:ascii="宋体" w:hAnsi="宋体" w:cs="宋体" w:hint="eastAsia"/>
          <w:lang w:val="en-GB"/>
        </w:rPr>
        <w:lastRenderedPageBreak/>
        <w:t>方式</w:t>
      </w:r>
      <w:r w:rsidR="0080438C" w:rsidRPr="00931219">
        <w:rPr>
          <w:rFonts w:ascii="宋体" w:hAnsi="宋体" w:cs="宋体" w:hint="eastAsia"/>
          <w:lang w:val="en-GB"/>
        </w:rPr>
        <w:t>）明确表示保留追加诉求的可能，对反垄断抗辩的防御性陈述也可以提前</w:t>
      </w:r>
      <w:proofErr w:type="gramStart"/>
      <w:r w:rsidR="0080438C" w:rsidRPr="00931219">
        <w:rPr>
          <w:rFonts w:ascii="宋体" w:hAnsi="宋体" w:cs="宋体" w:hint="eastAsia"/>
          <w:lang w:val="en-GB"/>
        </w:rPr>
        <w:t>作出</w:t>
      </w:r>
      <w:proofErr w:type="gramEnd"/>
      <w:r w:rsidR="0080438C" w:rsidRPr="00931219">
        <w:rPr>
          <w:rFonts w:ascii="宋体" w:hAnsi="宋体" w:cs="宋体" w:hint="eastAsia"/>
          <w:lang w:val="en-GB"/>
        </w:rPr>
        <w:t>。在例外的情况下，例如事先不能预见被告会提出反垄断抗辩，则法院可以经申请给予原告在首次庭前会议之前进行补充陈述的机会。</w:t>
      </w:r>
    </w:p>
    <w:p w14:paraId="1BFBC03A" w14:textId="3E08BD49" w:rsidR="00736B52" w:rsidRPr="00931219" w:rsidRDefault="00B1306F" w:rsidP="000312F4">
      <w:pPr>
        <w:widowControl/>
        <w:snapToGrid w:val="0"/>
        <w:spacing w:afterLines="100" w:after="423" w:line="360" w:lineRule="auto"/>
        <w:rPr>
          <w:rFonts w:ascii="Georgia" w:hAnsi="Georgia" w:cs="宋体"/>
          <w:lang w:val="en-GB"/>
        </w:rPr>
      </w:pPr>
      <w:r>
        <w:rPr>
          <w:rFonts w:ascii="Georgia" w:hAnsi="Georgia" w:cs="宋体"/>
          <w:color w:val="BFBFBF" w:themeColor="background1" w:themeShade="BF"/>
          <w:lang w:val="de-DE"/>
        </w:rPr>
        <w:t xml:space="preserve">    </w:t>
      </w:r>
      <w:r w:rsidR="00736B52" w:rsidRPr="00931219">
        <w:rPr>
          <w:rFonts w:ascii="Georgia" w:hAnsi="Georgia" w:cs="宋体" w:hint="eastAsia"/>
          <w:lang w:val="de-DE"/>
        </w:rPr>
        <w:t>关</w:t>
      </w:r>
      <w:r w:rsidR="00736B52" w:rsidRPr="00F94366">
        <w:rPr>
          <w:rFonts w:cs="Times New Roman"/>
          <w:lang w:val="de-DE"/>
        </w:rPr>
        <w:t>于</w:t>
      </w:r>
      <w:r w:rsidR="00736B52" w:rsidRPr="00F94366">
        <w:rPr>
          <w:rFonts w:cs="Times New Roman"/>
          <w:lang w:val="de-DE"/>
        </w:rPr>
        <w:t>b</w:t>
      </w:r>
      <w:r w:rsidR="00736B52" w:rsidRPr="00F94366">
        <w:rPr>
          <w:rFonts w:cs="Times New Roman"/>
          <w:lang w:val="de-DE"/>
        </w:rPr>
        <w:t>）</w:t>
      </w:r>
      <w:r w:rsidR="00736B52" w:rsidRPr="00F94366">
        <w:rPr>
          <w:rFonts w:cs="Times New Roman"/>
          <w:lang w:val="de-DE"/>
        </w:rPr>
        <w:t xml:space="preserve">  </w:t>
      </w:r>
      <w:r w:rsidR="0017724B" w:rsidRPr="00F94366">
        <w:rPr>
          <w:rFonts w:cs="Times New Roman"/>
          <w:lang w:val="de-DE"/>
        </w:rPr>
        <w:t>如果被告</w:t>
      </w:r>
      <w:r w:rsidR="0017724B" w:rsidRPr="00931219">
        <w:rPr>
          <w:rFonts w:ascii="Georgia" w:hAnsi="Georgia" w:cs="宋体" w:hint="eastAsia"/>
          <w:lang w:val="de-DE"/>
        </w:rPr>
        <w:t>希望能在首次庭前会议即讨论反垄断抗辩，即使在</w:t>
      </w:r>
      <w:r w:rsidR="004C4A79" w:rsidRPr="00931219">
        <w:rPr>
          <w:rFonts w:ascii="Georgia" w:hAnsi="Georgia" w:cs="宋体" w:hint="eastAsia"/>
          <w:lang w:val="de-DE"/>
        </w:rPr>
        <w:t>原告</w:t>
      </w:r>
      <w:r w:rsidR="00FD5EC8" w:rsidRPr="00931219">
        <w:rPr>
          <w:rFonts w:ascii="Georgia" w:hAnsi="Georgia" w:cs="宋体" w:hint="eastAsia"/>
          <w:lang w:val="de-DE"/>
        </w:rPr>
        <w:t>还没有提出停止侵害、召回和销毁侵权产品</w:t>
      </w:r>
      <w:r w:rsidR="004C4A79" w:rsidRPr="00931219">
        <w:rPr>
          <w:rFonts w:ascii="Georgia" w:hAnsi="Georgia" w:cs="宋体" w:hint="eastAsia"/>
          <w:lang w:val="de-DE"/>
        </w:rPr>
        <w:t>的主张</w:t>
      </w:r>
      <w:r w:rsidR="00FD5EC8" w:rsidRPr="00931219">
        <w:rPr>
          <w:rFonts w:ascii="Georgia" w:hAnsi="Georgia" w:cs="宋体" w:hint="eastAsia"/>
          <w:lang w:val="de-DE"/>
        </w:rPr>
        <w:t>而</w:t>
      </w:r>
      <w:r w:rsidR="004C4A79" w:rsidRPr="00931219">
        <w:rPr>
          <w:rFonts w:ascii="Georgia" w:hAnsi="Georgia" w:cs="宋体" w:hint="eastAsia"/>
          <w:lang w:val="de-DE"/>
        </w:rPr>
        <w:t>仅</w:t>
      </w:r>
      <w:r w:rsidR="00FD5EC8" w:rsidRPr="00931219">
        <w:rPr>
          <w:rFonts w:ascii="Georgia" w:hAnsi="Georgia" w:cs="宋体" w:hint="eastAsia"/>
          <w:lang w:val="de-DE"/>
        </w:rPr>
        <w:t>将其</w:t>
      </w:r>
      <w:r w:rsidR="004C4A79" w:rsidRPr="00931219">
        <w:rPr>
          <w:rFonts w:ascii="Georgia" w:hAnsi="Georgia" w:cs="宋体" w:hint="eastAsia"/>
          <w:lang w:val="de-DE"/>
        </w:rPr>
        <w:t>作为备选项</w:t>
      </w:r>
      <w:r w:rsidR="0017724B" w:rsidRPr="00931219">
        <w:rPr>
          <w:rFonts w:ascii="Georgia" w:hAnsi="Georgia" w:cs="宋体" w:hint="eastAsia"/>
          <w:lang w:val="de-DE"/>
        </w:rPr>
        <w:t>的</w:t>
      </w:r>
      <w:r w:rsidR="004C4A79" w:rsidRPr="00931219">
        <w:rPr>
          <w:rFonts w:ascii="Georgia" w:hAnsi="Georgia" w:cs="宋体" w:hint="eastAsia"/>
          <w:lang w:val="de-DE"/>
        </w:rPr>
        <w:t>予以保留</w:t>
      </w:r>
      <w:r w:rsidR="0017724B" w:rsidRPr="00931219">
        <w:rPr>
          <w:rFonts w:ascii="Georgia" w:hAnsi="Georgia" w:cs="宋体" w:hint="eastAsia"/>
          <w:lang w:val="de-DE"/>
        </w:rPr>
        <w:t>情况下，被告</w:t>
      </w:r>
      <w:r w:rsidR="004C4A79" w:rsidRPr="00931219">
        <w:rPr>
          <w:rFonts w:ascii="Georgia" w:hAnsi="Georgia" w:cs="宋体" w:hint="eastAsia"/>
          <w:lang w:val="de-DE"/>
        </w:rPr>
        <w:t>也可以</w:t>
      </w:r>
      <w:r w:rsidR="0017724B" w:rsidRPr="00931219">
        <w:rPr>
          <w:rFonts w:ascii="Georgia" w:hAnsi="Georgia" w:cs="宋体" w:hint="eastAsia"/>
          <w:lang w:val="de-DE"/>
        </w:rPr>
        <w:t>在答辩书中</w:t>
      </w:r>
      <w:r w:rsidR="004C4A79" w:rsidRPr="00931219">
        <w:rPr>
          <w:rFonts w:ascii="Georgia" w:hAnsi="Georgia" w:cs="宋体" w:hint="eastAsia"/>
          <w:lang w:val="de-DE"/>
        </w:rPr>
        <w:t>预先</w:t>
      </w:r>
      <w:r w:rsidR="0017724B" w:rsidRPr="00931219">
        <w:rPr>
          <w:rFonts w:ascii="Georgia" w:hAnsi="Georgia" w:cs="宋体" w:hint="eastAsia"/>
          <w:lang w:val="de-DE"/>
        </w:rPr>
        <w:t>提出</w:t>
      </w:r>
      <w:r w:rsidR="004C4A79" w:rsidRPr="00931219">
        <w:rPr>
          <w:rFonts w:ascii="Georgia" w:hAnsi="Georgia" w:cs="宋体" w:hint="eastAsia"/>
          <w:lang w:val="de-DE"/>
        </w:rPr>
        <w:t>（防御性的）</w:t>
      </w:r>
      <w:r w:rsidR="0017724B" w:rsidRPr="00931219">
        <w:rPr>
          <w:rFonts w:ascii="Georgia" w:hAnsi="Georgia" w:cs="宋体" w:hint="eastAsia"/>
          <w:lang w:val="de-DE"/>
        </w:rPr>
        <w:t>反垄断抗辩。</w:t>
      </w:r>
    </w:p>
    <w:p w14:paraId="6A0DD877" w14:textId="5BFA3E89" w:rsidR="000312F4" w:rsidRPr="00931219" w:rsidRDefault="00DA13BB" w:rsidP="00241084">
      <w:pPr>
        <w:pStyle w:val="2"/>
        <w:rPr>
          <w:b w:val="0"/>
          <w:sz w:val="24"/>
          <w:szCs w:val="24"/>
        </w:rPr>
      </w:pPr>
      <w:bookmarkStart w:id="6" w:name="_Toc33138370"/>
      <w:r w:rsidRPr="00F94366">
        <w:rPr>
          <w:rFonts w:ascii="Times New Roman" w:hAnsi="Times New Roman" w:cs="Times New Roman"/>
          <w:sz w:val="24"/>
          <w:szCs w:val="24"/>
        </w:rPr>
        <w:t xml:space="preserve">3. </w:t>
      </w:r>
      <w:r w:rsidRPr="00F94366">
        <w:rPr>
          <w:rFonts w:ascii="Times New Roman" w:hAnsi="Times New Roman" w:cs="Times New Roman"/>
          <w:sz w:val="24"/>
          <w:szCs w:val="24"/>
        </w:rPr>
        <w:t>在什么条件下可以</w:t>
      </w:r>
      <w:r w:rsidR="00645CF3" w:rsidRPr="00F94366">
        <w:rPr>
          <w:rFonts w:ascii="Times New Roman" w:hAnsi="Times New Roman" w:cs="Times New Roman"/>
          <w:sz w:val="24"/>
          <w:szCs w:val="24"/>
        </w:rPr>
        <w:t>要求将</w:t>
      </w:r>
      <w:r w:rsidRPr="00F94366">
        <w:rPr>
          <w:rFonts w:ascii="Times New Roman" w:hAnsi="Times New Roman" w:cs="Times New Roman"/>
          <w:sz w:val="24"/>
          <w:szCs w:val="24"/>
        </w:rPr>
        <w:t>停止妨害、召回和销毁侵权产品请求权追加</w:t>
      </w:r>
      <w:r w:rsidR="00F3599A" w:rsidRPr="00F94366">
        <w:rPr>
          <w:rFonts w:ascii="Times New Roman" w:hAnsi="Times New Roman" w:cs="Times New Roman"/>
          <w:sz w:val="24"/>
          <w:szCs w:val="24"/>
        </w:rPr>
        <w:t>入诉</w:t>
      </w:r>
      <w:bookmarkEnd w:id="6"/>
    </w:p>
    <w:p w14:paraId="303642F2" w14:textId="77777777" w:rsidR="00005ECC" w:rsidRPr="00F94366" w:rsidRDefault="00005ECC" w:rsidP="00F94366">
      <w:pPr>
        <w:widowControl/>
        <w:snapToGrid w:val="0"/>
        <w:spacing w:line="360" w:lineRule="auto"/>
        <w:ind w:firstLineChars="200" w:firstLine="480"/>
        <w:rPr>
          <w:rFonts w:cs="Times New Roman"/>
          <w:lang w:val="en-GB"/>
        </w:rPr>
      </w:pPr>
      <w:r w:rsidRPr="00F94366">
        <w:rPr>
          <w:rFonts w:cs="Times New Roman"/>
          <w:lang w:val="en-GB"/>
        </w:rPr>
        <w:t xml:space="preserve">a) </w:t>
      </w:r>
      <w:r w:rsidRPr="00F94366">
        <w:rPr>
          <w:rFonts w:cs="Times New Roman"/>
          <w:lang w:val="en-GB"/>
        </w:rPr>
        <w:t>原告如果有在之后追加新的请求</w:t>
      </w:r>
      <w:proofErr w:type="gramStart"/>
      <w:r w:rsidRPr="00F94366">
        <w:rPr>
          <w:rFonts w:cs="Times New Roman"/>
          <w:lang w:val="en-GB"/>
        </w:rPr>
        <w:t>权入诉</w:t>
      </w:r>
      <w:proofErr w:type="gramEnd"/>
      <w:r w:rsidRPr="00F94366">
        <w:rPr>
          <w:rFonts w:cs="Times New Roman"/>
          <w:lang w:val="en-GB"/>
        </w:rPr>
        <w:t>的打算，可以在起诉书中以书面形式明确表示。原告最迟可以在首次法庭辩论以书面形式提出，或者</w:t>
      </w:r>
      <w:r w:rsidR="00E7285E" w:rsidRPr="00F94366">
        <w:rPr>
          <w:rFonts w:cs="Times New Roman"/>
          <w:lang w:val="en-GB"/>
        </w:rPr>
        <w:t>在首次法庭辩论时口头提出然后在开庭审判期日之前</w:t>
      </w:r>
      <w:r w:rsidR="004C4A79" w:rsidRPr="00F94366">
        <w:rPr>
          <w:rFonts w:cs="Times New Roman"/>
          <w:lang w:val="en-GB"/>
        </w:rPr>
        <w:t>以</w:t>
      </w:r>
      <w:r w:rsidR="00E7285E" w:rsidRPr="00F94366">
        <w:rPr>
          <w:rFonts w:cs="Times New Roman"/>
          <w:lang w:val="en-GB"/>
        </w:rPr>
        <w:t>书面形式提出。</w:t>
      </w:r>
    </w:p>
    <w:p w14:paraId="2CB2FF1A" w14:textId="77777777" w:rsidR="00E7285E" w:rsidRPr="00F94366" w:rsidRDefault="00E7285E" w:rsidP="00F94366">
      <w:pPr>
        <w:widowControl/>
        <w:snapToGrid w:val="0"/>
        <w:spacing w:line="360" w:lineRule="auto"/>
        <w:ind w:firstLineChars="200" w:firstLine="480"/>
        <w:rPr>
          <w:rFonts w:cs="Times New Roman"/>
          <w:lang w:val="en-GB"/>
        </w:rPr>
      </w:pPr>
      <w:r w:rsidRPr="00F94366">
        <w:rPr>
          <w:rFonts w:cs="Times New Roman"/>
          <w:lang w:val="en-GB"/>
        </w:rPr>
        <w:t xml:space="preserve">b) </w:t>
      </w:r>
      <w:r w:rsidRPr="00F94366">
        <w:rPr>
          <w:rFonts w:cs="Times New Roman"/>
          <w:lang w:val="en-GB"/>
        </w:rPr>
        <w:t>因此而增加的需要预支的法庭费用以及</w:t>
      </w:r>
      <w:r w:rsidRPr="00F94366">
        <w:rPr>
          <w:rFonts w:cs="Times New Roman"/>
          <w:lang w:val="en-GB"/>
        </w:rPr>
        <w:t>/</w:t>
      </w:r>
      <w:r w:rsidRPr="00F94366">
        <w:rPr>
          <w:rFonts w:cs="Times New Roman"/>
          <w:lang w:val="en-GB"/>
        </w:rPr>
        <w:t>或者需要提供担保的诉讼费</w:t>
      </w:r>
      <w:proofErr w:type="gramStart"/>
      <w:r w:rsidRPr="00F94366">
        <w:rPr>
          <w:rFonts w:cs="Times New Roman"/>
          <w:lang w:val="en-GB"/>
        </w:rPr>
        <w:t>用应该</w:t>
      </w:r>
      <w:proofErr w:type="gramEnd"/>
      <w:r w:rsidRPr="00F94366">
        <w:rPr>
          <w:rFonts w:cs="Times New Roman"/>
          <w:lang w:val="en-GB"/>
        </w:rPr>
        <w:t>尽快支付或提供。</w:t>
      </w:r>
    </w:p>
    <w:p w14:paraId="69F16355" w14:textId="5EF33DA3" w:rsidR="00B95060" w:rsidRPr="00F94366" w:rsidRDefault="00E7285E" w:rsidP="00F94366">
      <w:pPr>
        <w:widowControl/>
        <w:snapToGrid w:val="0"/>
        <w:spacing w:afterLines="100" w:after="423" w:line="360" w:lineRule="auto"/>
        <w:ind w:firstLineChars="200" w:firstLine="480"/>
        <w:rPr>
          <w:rFonts w:ascii="Georgia" w:hAnsi="Georgia"/>
          <w:lang w:val="en-GB"/>
        </w:rPr>
      </w:pPr>
      <w:r w:rsidRPr="00F94366">
        <w:rPr>
          <w:rFonts w:cs="Times New Roman"/>
          <w:lang w:val="en-GB"/>
        </w:rPr>
        <w:t xml:space="preserve">c) </w:t>
      </w:r>
      <w:r w:rsidRPr="00F94366">
        <w:rPr>
          <w:rFonts w:cs="Times New Roman"/>
          <w:lang w:val="en-GB"/>
        </w:rPr>
        <w:t>原告起诉主张</w:t>
      </w:r>
      <w:r w:rsidR="00B95060" w:rsidRPr="00F94366">
        <w:rPr>
          <w:rFonts w:cs="Times New Roman"/>
          <w:lang w:val="en-GB"/>
        </w:rPr>
        <w:t>信息披露、账目提供以及损害赔偿计算等请求权可以视为原告向被告发出了侵权警告信（诉前</w:t>
      </w:r>
      <w:proofErr w:type="gramStart"/>
      <w:r w:rsidR="00B95060" w:rsidRPr="00F94366">
        <w:rPr>
          <w:rFonts w:cs="Times New Roman"/>
          <w:lang w:val="en-GB"/>
        </w:rPr>
        <w:t>必要履行</w:t>
      </w:r>
      <w:proofErr w:type="gramEnd"/>
      <w:r w:rsidR="00B95060" w:rsidRPr="00F94366">
        <w:rPr>
          <w:rFonts w:cs="Times New Roman"/>
          <w:lang w:val="en-GB"/>
        </w:rPr>
        <w:t>步骤</w:t>
      </w:r>
      <w:r w:rsidR="00B95060" w:rsidRPr="00F94366">
        <w:rPr>
          <w:rFonts w:cs="Times New Roman"/>
          <w:lang w:val="en-GB"/>
        </w:rPr>
        <w:t>1</w:t>
      </w:r>
      <w:r w:rsidR="00B95060" w:rsidRPr="00F94366">
        <w:rPr>
          <w:rFonts w:cs="Times New Roman"/>
          <w:lang w:val="en-GB"/>
        </w:rPr>
        <w:t>）。其他尚未履行的必要步骤必须在首次庭前会议日与开庭</w:t>
      </w:r>
      <w:proofErr w:type="gramStart"/>
      <w:r w:rsidR="00B95060" w:rsidRPr="00F94366">
        <w:rPr>
          <w:rFonts w:cs="Times New Roman"/>
          <w:lang w:val="en-GB"/>
        </w:rPr>
        <w:t>审理日</w:t>
      </w:r>
      <w:proofErr w:type="gramEnd"/>
      <w:r w:rsidR="00B95060" w:rsidRPr="00F94366">
        <w:rPr>
          <w:rFonts w:cs="Times New Roman"/>
          <w:lang w:val="en-GB"/>
        </w:rPr>
        <w:t>之间进</w:t>
      </w:r>
      <w:r w:rsidR="00B95060" w:rsidRPr="00931219">
        <w:rPr>
          <w:rFonts w:ascii="宋体" w:hAnsi="宋体" w:cs="宋体" w:hint="eastAsia"/>
          <w:lang w:val="en-GB"/>
        </w:rPr>
        <w:t>行弥补。受理专利权纠纷的</w:t>
      </w:r>
      <w:r w:rsidR="004C4A79" w:rsidRPr="00931219">
        <w:rPr>
          <w:rFonts w:ascii="宋体" w:hAnsi="宋体" w:cs="宋体" w:hint="eastAsia"/>
          <w:lang w:val="en-GB"/>
        </w:rPr>
        <w:t>审判</w:t>
      </w:r>
      <w:r w:rsidR="00B95060" w:rsidRPr="00931219">
        <w:rPr>
          <w:rFonts w:ascii="宋体" w:hAnsi="宋体" w:cs="宋体" w:hint="eastAsia"/>
          <w:lang w:val="en-GB"/>
        </w:rPr>
        <w:t>庭根据具体案件的实际情况来设定补充履行的期间。如果原告在起诉书中已经对被告可能提出的反垄断抗辩进行了防御性的陈述，那么法院可以相应缩短</w:t>
      </w:r>
      <w:r w:rsidR="00052AF8" w:rsidRPr="00931219">
        <w:rPr>
          <w:rFonts w:ascii="宋体" w:hAnsi="宋体" w:cs="宋体" w:hint="eastAsia"/>
          <w:lang w:val="en-GB"/>
        </w:rPr>
        <w:t>弥补</w:t>
      </w:r>
      <w:r w:rsidR="00B95060" w:rsidRPr="00931219">
        <w:rPr>
          <w:rFonts w:ascii="宋体" w:hAnsi="宋体" w:cs="宋体" w:hint="eastAsia"/>
          <w:lang w:val="en-GB"/>
        </w:rPr>
        <w:t>履行的期间。</w:t>
      </w:r>
      <w:r w:rsidR="004C4A79" w:rsidRPr="00931219">
        <w:rPr>
          <w:rFonts w:ascii="宋体" w:hAnsi="宋体" w:cs="宋体" w:hint="eastAsia"/>
          <w:lang w:val="en-GB"/>
        </w:rPr>
        <w:t>如果被告在答辩书中针对反垄断抗辩表明了自己的立场，那么审判庭可</w:t>
      </w:r>
      <w:r w:rsidR="004C4A79" w:rsidRPr="00F94366">
        <w:rPr>
          <w:rFonts w:ascii="Georgia" w:hAnsi="Georgia" w:hint="eastAsia"/>
          <w:lang w:val="en-GB"/>
        </w:rPr>
        <w:t>以直接在首次庭前会议上让双方就对涉及反垄断抗辩的某些问题进行沟通。</w:t>
      </w:r>
    </w:p>
    <w:p w14:paraId="033B67AA" w14:textId="0C01570A" w:rsidR="00DA13BB" w:rsidRPr="00F94366" w:rsidRDefault="00DA13BB" w:rsidP="00DA13BB">
      <w:pPr>
        <w:pStyle w:val="2"/>
        <w:rPr>
          <w:rFonts w:ascii="Times New Roman" w:hAnsi="Times New Roman" w:cs="Times New Roman"/>
          <w:sz w:val="24"/>
          <w:szCs w:val="24"/>
        </w:rPr>
      </w:pPr>
      <w:bookmarkStart w:id="7" w:name="_Toc33138371"/>
      <w:r w:rsidRPr="00F94366">
        <w:rPr>
          <w:rFonts w:ascii="Times New Roman" w:hAnsi="Times New Roman" w:cs="Times New Roman"/>
          <w:sz w:val="24"/>
          <w:szCs w:val="24"/>
        </w:rPr>
        <w:t xml:space="preserve">4. </w:t>
      </w:r>
      <w:r w:rsidRPr="00F94366">
        <w:rPr>
          <w:rFonts w:ascii="Times New Roman" w:hAnsi="Times New Roman" w:cs="Times New Roman"/>
          <w:sz w:val="24"/>
          <w:szCs w:val="24"/>
        </w:rPr>
        <w:t>对</w:t>
      </w:r>
      <w:r w:rsidR="008B764E" w:rsidRPr="00F94366">
        <w:rPr>
          <w:rFonts w:ascii="Times New Roman" w:hAnsi="Times New Roman" w:cs="Times New Roman"/>
          <w:sz w:val="24"/>
          <w:szCs w:val="24"/>
        </w:rPr>
        <w:t>诉讼双方</w:t>
      </w:r>
      <w:r w:rsidRPr="00F94366">
        <w:rPr>
          <w:rFonts w:ascii="Times New Roman" w:hAnsi="Times New Roman" w:cs="Times New Roman"/>
          <w:sz w:val="24"/>
          <w:szCs w:val="24"/>
        </w:rPr>
        <w:t>陈述的一些具体要求</w:t>
      </w:r>
      <w:bookmarkEnd w:id="7"/>
    </w:p>
    <w:p w14:paraId="5F5F9255" w14:textId="34C7DC2D" w:rsidR="004C4A79" w:rsidRPr="00931219" w:rsidRDefault="002E4707" w:rsidP="00F94366">
      <w:pPr>
        <w:widowControl/>
        <w:snapToGrid w:val="0"/>
        <w:spacing w:line="360" w:lineRule="auto"/>
        <w:rPr>
          <w:rFonts w:ascii="Georgia" w:hAnsi="Georgia"/>
          <w:bCs/>
          <w:lang w:val="en-GB"/>
        </w:rPr>
      </w:pPr>
      <w:r w:rsidRPr="00F94366">
        <w:rPr>
          <w:rFonts w:cs="Times New Roman"/>
          <w:color w:val="BFBFBF" w:themeColor="background1" w:themeShade="BF"/>
          <w:lang w:val="de-DE"/>
        </w:rPr>
        <w:t xml:space="preserve">    </w:t>
      </w:r>
      <w:r w:rsidR="004C4A79" w:rsidRPr="00F94366">
        <w:rPr>
          <w:rFonts w:cs="Times New Roman"/>
          <w:lang w:val="en-GB"/>
        </w:rPr>
        <w:t xml:space="preserve">a) </w:t>
      </w:r>
      <w:r w:rsidR="00682F22" w:rsidRPr="00F94366">
        <w:rPr>
          <w:rFonts w:cs="Times New Roman"/>
          <w:lang w:val="en-GB"/>
        </w:rPr>
        <w:t>应当</w:t>
      </w:r>
      <w:r w:rsidR="006E6011" w:rsidRPr="00F94366">
        <w:rPr>
          <w:rFonts w:cs="Times New Roman"/>
          <w:lang w:val="en-GB"/>
        </w:rPr>
        <w:t>由被告方提出</w:t>
      </w:r>
      <w:r w:rsidR="003B5ABC" w:rsidRPr="00F94366">
        <w:rPr>
          <w:rFonts w:cs="Times New Roman"/>
          <w:lang w:val="en-GB"/>
        </w:rPr>
        <w:t>反垄断抗辩</w:t>
      </w:r>
      <w:r w:rsidR="006E6011" w:rsidRPr="00F94366">
        <w:rPr>
          <w:rFonts w:cs="Times New Roman"/>
          <w:lang w:val="en-GB"/>
        </w:rPr>
        <w:t>，被告必须陈述</w:t>
      </w:r>
      <w:r w:rsidR="003B5ABC" w:rsidRPr="00F94366">
        <w:rPr>
          <w:rFonts w:cs="Times New Roman"/>
          <w:lang w:val="en-GB"/>
        </w:rPr>
        <w:t>并证明反垄断抗辩的构成</w:t>
      </w:r>
      <w:r w:rsidR="003B5ABC" w:rsidRPr="00931219">
        <w:rPr>
          <w:rFonts w:ascii="Georgia" w:hAnsi="Georgia" w:hint="eastAsia"/>
          <w:lang w:val="en-GB"/>
        </w:rPr>
        <w:t>要件</w:t>
      </w:r>
      <w:r w:rsidR="00682F22" w:rsidRPr="00931219">
        <w:rPr>
          <w:rFonts w:ascii="Georgia" w:hAnsi="Georgia" w:hint="eastAsia"/>
          <w:lang w:val="en-GB"/>
        </w:rPr>
        <w:t>均已满足；这其中最重要的，被告必须说明为什么原告最后一次提出的要约不符合反垄断法（公平、合理和无歧视原则）</w:t>
      </w:r>
      <w:r w:rsidR="007B56D2" w:rsidRPr="00931219">
        <w:rPr>
          <w:rFonts w:ascii="Georgia" w:hAnsi="Georgia" w:hint="eastAsia"/>
          <w:lang w:val="en-GB"/>
        </w:rPr>
        <w:t>的要求</w:t>
      </w:r>
      <w:r w:rsidR="00682F22" w:rsidRPr="00931219">
        <w:rPr>
          <w:rFonts w:ascii="Georgia" w:hAnsi="Georgia" w:hint="eastAsia"/>
          <w:lang w:val="en-GB"/>
        </w:rPr>
        <w:t>。</w:t>
      </w:r>
    </w:p>
    <w:p w14:paraId="220F3C0A" w14:textId="24799114" w:rsidR="00682F22" w:rsidRPr="00931219" w:rsidRDefault="002E4707" w:rsidP="00F94366">
      <w:pPr>
        <w:widowControl/>
        <w:snapToGrid w:val="0"/>
        <w:spacing w:line="360" w:lineRule="auto"/>
        <w:rPr>
          <w:rFonts w:ascii="Georgia" w:hAnsi="Georgia"/>
          <w:bCs/>
          <w:lang w:val="en-GB"/>
        </w:rPr>
      </w:pPr>
      <w:r>
        <w:rPr>
          <w:rFonts w:ascii="Georgia" w:hAnsi="Georgia"/>
          <w:color w:val="BFBFBF" w:themeColor="background1" w:themeShade="BF"/>
          <w:lang w:val="de-DE"/>
        </w:rPr>
        <w:t xml:space="preserve">    </w:t>
      </w:r>
      <w:r w:rsidR="00682F22" w:rsidRPr="00F94366">
        <w:rPr>
          <w:rFonts w:cs="Times New Roman"/>
          <w:lang w:val="en-GB"/>
        </w:rPr>
        <w:t xml:space="preserve">b) </w:t>
      </w:r>
      <w:r w:rsidR="00682F22" w:rsidRPr="00F94366">
        <w:rPr>
          <w:rFonts w:cs="Times New Roman"/>
          <w:lang w:val="en-GB"/>
        </w:rPr>
        <w:t>在被告没有向原告</w:t>
      </w:r>
      <w:r w:rsidR="00682F22" w:rsidRPr="00931219">
        <w:rPr>
          <w:rFonts w:ascii="Georgia" w:hAnsi="Georgia" w:hint="eastAsia"/>
          <w:lang w:val="en-GB"/>
        </w:rPr>
        <w:t>提供反要约的情况下，</w:t>
      </w:r>
      <w:r w:rsidR="00302A32" w:rsidRPr="00931219">
        <w:rPr>
          <w:rFonts w:ascii="Georgia" w:hAnsi="Georgia" w:hint="eastAsia"/>
          <w:lang w:val="en-GB"/>
        </w:rPr>
        <w:t>则</w:t>
      </w:r>
      <w:r w:rsidR="00682F22" w:rsidRPr="00931219">
        <w:rPr>
          <w:rFonts w:ascii="Georgia" w:hAnsi="Georgia" w:hint="eastAsia"/>
          <w:lang w:val="en-GB"/>
        </w:rPr>
        <w:t>被告必须</w:t>
      </w:r>
      <w:r w:rsidR="006E6011" w:rsidRPr="00931219">
        <w:rPr>
          <w:rFonts w:ascii="Georgia" w:hAnsi="Georgia" w:hint="eastAsia"/>
          <w:lang w:val="en-GB"/>
        </w:rPr>
        <w:t>陈述</w:t>
      </w:r>
      <w:r w:rsidR="00682F22" w:rsidRPr="00931219">
        <w:rPr>
          <w:rFonts w:ascii="Georgia" w:hAnsi="Georgia" w:hint="eastAsia"/>
          <w:lang w:val="en-GB"/>
        </w:rPr>
        <w:t>并证明原告</w:t>
      </w:r>
      <w:r w:rsidR="00095E9F" w:rsidRPr="00931219">
        <w:rPr>
          <w:rFonts w:ascii="Georgia" w:hAnsi="Georgia" w:hint="eastAsia"/>
          <w:lang w:val="en-GB"/>
        </w:rPr>
        <w:t>上</w:t>
      </w:r>
      <w:r w:rsidR="00682F22" w:rsidRPr="00931219">
        <w:rPr>
          <w:rFonts w:ascii="Georgia" w:hAnsi="Georgia" w:hint="eastAsia"/>
          <w:lang w:val="en-GB"/>
        </w:rPr>
        <w:t>一次提出的要约条件</w:t>
      </w:r>
      <w:r w:rsidR="00801892" w:rsidRPr="00931219">
        <w:rPr>
          <w:rFonts w:ascii="Georgia" w:hAnsi="Georgia" w:hint="eastAsia"/>
          <w:lang w:val="en-GB"/>
        </w:rPr>
        <w:t>从反垄断法的角度看</w:t>
      </w:r>
      <w:r w:rsidR="00682F22" w:rsidRPr="00931219">
        <w:rPr>
          <w:rFonts w:ascii="Georgia" w:hAnsi="Georgia" w:hint="eastAsia"/>
          <w:lang w:val="en-GB"/>
        </w:rPr>
        <w:t>完全</w:t>
      </w:r>
      <w:r w:rsidR="00801892" w:rsidRPr="00931219">
        <w:rPr>
          <w:rFonts w:ascii="Georgia" w:hAnsi="Georgia" w:hint="eastAsia"/>
          <w:lang w:val="en-GB"/>
        </w:rPr>
        <w:t>是</w:t>
      </w:r>
      <w:r w:rsidR="00682F22" w:rsidRPr="00931219">
        <w:rPr>
          <w:rFonts w:ascii="Georgia" w:hAnsi="Georgia" w:hint="eastAsia"/>
          <w:lang w:val="en-GB"/>
        </w:rPr>
        <w:t>无法接受的，或者</w:t>
      </w:r>
      <w:r w:rsidR="00264914" w:rsidRPr="00931219">
        <w:rPr>
          <w:rFonts w:ascii="Georgia" w:hAnsi="Georgia" w:hint="eastAsia"/>
          <w:lang w:val="en-GB"/>
        </w:rPr>
        <w:t>原告</w:t>
      </w:r>
      <w:r w:rsidR="00D941D9">
        <w:rPr>
          <w:rFonts w:ascii="Georgia" w:hAnsi="Georgia" w:hint="eastAsia"/>
          <w:lang w:val="en-GB"/>
        </w:rPr>
        <w:t>本应许可</w:t>
      </w:r>
      <w:r w:rsidR="00264914" w:rsidRPr="00931219">
        <w:rPr>
          <w:rFonts w:ascii="Georgia" w:hAnsi="Georgia" w:hint="eastAsia"/>
          <w:lang w:val="en-GB"/>
        </w:rPr>
        <w:t>被告的上游供货商使用相关专利</w:t>
      </w:r>
      <w:r w:rsidR="0058430A" w:rsidRPr="00931219">
        <w:rPr>
          <w:rFonts w:ascii="Georgia" w:hAnsi="Georgia" w:hint="eastAsia"/>
          <w:lang w:val="en-GB"/>
        </w:rPr>
        <w:t>（</w:t>
      </w:r>
      <w:r w:rsidR="00264914" w:rsidRPr="00931219">
        <w:rPr>
          <w:rFonts w:ascii="Georgia" w:hAnsi="Georgia" w:hint="eastAsia"/>
          <w:lang w:val="en-GB"/>
        </w:rPr>
        <w:t>后者</w:t>
      </w:r>
      <w:r w:rsidR="006E6011" w:rsidRPr="00931219">
        <w:rPr>
          <w:rFonts w:ascii="Georgia" w:hAnsi="Georgia" w:hint="eastAsia"/>
          <w:lang w:val="en-GB"/>
        </w:rPr>
        <w:t>即</w:t>
      </w:r>
      <w:r w:rsidR="00264914" w:rsidRPr="00931219">
        <w:rPr>
          <w:rFonts w:ascii="Georgia" w:hAnsi="Georgia" w:hint="eastAsia"/>
          <w:lang w:val="en-GB"/>
        </w:rPr>
        <w:t>所谓的“派生性”反垄断抗辩</w:t>
      </w:r>
      <w:r w:rsidR="0058430A" w:rsidRPr="00931219">
        <w:rPr>
          <w:rFonts w:ascii="Georgia" w:hAnsi="Georgia" w:hint="eastAsia"/>
          <w:lang w:val="en-GB"/>
        </w:rPr>
        <w:t>）。</w:t>
      </w:r>
      <w:r w:rsidR="006E6011" w:rsidRPr="00931219">
        <w:rPr>
          <w:rFonts w:ascii="Georgia" w:hAnsi="Georgia" w:hint="eastAsia"/>
          <w:lang w:val="en-GB"/>
        </w:rPr>
        <w:t>值得</w:t>
      </w:r>
      <w:r w:rsidR="006E6011" w:rsidRPr="00931219">
        <w:rPr>
          <w:rFonts w:ascii="Georgia" w:hAnsi="Georgia" w:hint="eastAsia"/>
          <w:lang w:val="en-GB"/>
        </w:rPr>
        <w:lastRenderedPageBreak/>
        <w:t>注意的是，如果被告</w:t>
      </w:r>
      <w:r w:rsidR="0058430A" w:rsidRPr="00931219">
        <w:rPr>
          <w:rFonts w:ascii="Georgia" w:hAnsi="Georgia" w:hint="eastAsia"/>
          <w:lang w:val="en-GB"/>
        </w:rPr>
        <w:t>本</w:t>
      </w:r>
      <w:r w:rsidR="006E6011" w:rsidRPr="00931219">
        <w:rPr>
          <w:rFonts w:ascii="Georgia" w:hAnsi="Georgia" w:hint="eastAsia"/>
          <w:lang w:val="en-GB"/>
        </w:rPr>
        <w:t>可以与原告达成</w:t>
      </w:r>
      <w:r w:rsidR="0058430A" w:rsidRPr="00931219">
        <w:rPr>
          <w:rFonts w:ascii="Georgia" w:hAnsi="Georgia" w:hint="eastAsia"/>
          <w:lang w:val="en-GB"/>
        </w:rPr>
        <w:t>一个</w:t>
      </w:r>
      <w:r w:rsidR="00D941D9">
        <w:rPr>
          <w:rFonts w:ascii="Georgia" w:hAnsi="Georgia" w:hint="eastAsia"/>
          <w:lang w:val="en-GB"/>
        </w:rPr>
        <w:t>许可合同，该合同</w:t>
      </w:r>
      <w:r w:rsidR="0058430A" w:rsidRPr="00931219">
        <w:rPr>
          <w:rFonts w:ascii="Georgia" w:hAnsi="Georgia" w:hint="eastAsia"/>
          <w:lang w:val="en-GB"/>
        </w:rPr>
        <w:t>将嗣后的权利用尽或者价值</w:t>
      </w:r>
      <w:proofErr w:type="gramStart"/>
      <w:r w:rsidR="0058430A" w:rsidRPr="00931219">
        <w:rPr>
          <w:rFonts w:ascii="Georgia" w:hAnsi="Georgia" w:hint="eastAsia"/>
          <w:lang w:val="en-GB"/>
        </w:rPr>
        <w:t>链内部</w:t>
      </w:r>
      <w:proofErr w:type="gramEnd"/>
      <w:r w:rsidR="0058430A" w:rsidRPr="00931219">
        <w:rPr>
          <w:rFonts w:ascii="Georgia" w:hAnsi="Georgia" w:hint="eastAsia"/>
          <w:lang w:val="en-GB"/>
        </w:rPr>
        <w:t>的许可给予合理、充分并具有溯及力的</w:t>
      </w:r>
      <w:proofErr w:type="gramStart"/>
      <w:r w:rsidR="0058430A" w:rsidRPr="00931219">
        <w:rPr>
          <w:rFonts w:ascii="Georgia" w:hAnsi="Georgia" w:hint="eastAsia"/>
          <w:lang w:val="en-GB"/>
        </w:rPr>
        <w:t>考量</w:t>
      </w:r>
      <w:proofErr w:type="gramEnd"/>
      <w:r w:rsidR="00176940" w:rsidRPr="00931219">
        <w:rPr>
          <w:rFonts w:ascii="Georgia" w:hAnsi="Georgia" w:hint="eastAsia"/>
          <w:lang w:val="en-GB"/>
        </w:rPr>
        <w:t>，并且</w:t>
      </w:r>
      <w:r w:rsidR="003F1721" w:rsidRPr="00931219">
        <w:rPr>
          <w:rFonts w:ascii="Georgia" w:hAnsi="Georgia" w:hint="eastAsia"/>
          <w:lang w:val="en-GB"/>
        </w:rPr>
        <w:t>确保</w:t>
      </w:r>
      <w:r w:rsidR="0058430A" w:rsidRPr="00931219">
        <w:rPr>
          <w:rFonts w:ascii="Georgia" w:hAnsi="Georgia" w:hint="eastAsia"/>
          <w:lang w:val="en-GB"/>
        </w:rPr>
        <w:t>价值链的其他成员</w:t>
      </w:r>
      <w:r w:rsidR="00C04B72">
        <w:rPr>
          <w:rFonts w:ascii="Georgia" w:hAnsi="Georgia" w:hint="eastAsia"/>
          <w:lang w:val="en-GB"/>
        </w:rPr>
        <w:t>可以向被告披露</w:t>
      </w:r>
      <w:r w:rsidR="003F1721" w:rsidRPr="00931219">
        <w:rPr>
          <w:rFonts w:ascii="Georgia" w:hAnsi="Georgia" w:hint="eastAsia"/>
          <w:lang w:val="en-GB"/>
        </w:rPr>
        <w:t>相关信息</w:t>
      </w:r>
      <w:r w:rsidR="00C04B72">
        <w:rPr>
          <w:rFonts w:ascii="Georgia" w:hAnsi="Georgia" w:hint="eastAsia"/>
          <w:lang w:val="en-GB"/>
        </w:rPr>
        <w:t>的</w:t>
      </w:r>
      <w:r w:rsidR="0058430A" w:rsidRPr="00931219">
        <w:rPr>
          <w:rFonts w:ascii="Georgia" w:hAnsi="Georgia" w:hint="eastAsia"/>
          <w:lang w:val="en-GB"/>
        </w:rPr>
        <w:t>，</w:t>
      </w:r>
      <w:r w:rsidR="003F1721" w:rsidRPr="00931219">
        <w:rPr>
          <w:rFonts w:ascii="Georgia" w:hAnsi="Georgia" w:hint="eastAsia"/>
          <w:lang w:val="en-GB"/>
        </w:rPr>
        <w:t>“派生性</w:t>
      </w:r>
      <w:r w:rsidR="00C04B72">
        <w:rPr>
          <w:rFonts w:ascii="Georgia" w:hAnsi="Georgia" w:hint="eastAsia"/>
          <w:lang w:val="en-GB"/>
        </w:rPr>
        <w:t>”</w:t>
      </w:r>
      <w:r w:rsidR="003F1721" w:rsidRPr="00931219">
        <w:rPr>
          <w:rFonts w:ascii="Georgia" w:hAnsi="Georgia" w:hint="eastAsia"/>
          <w:lang w:val="en-GB"/>
        </w:rPr>
        <w:t>反垄断抗辩不成立。此外，必须确保专利权人不能通过主张损害赔偿请求权来</w:t>
      </w:r>
      <w:r w:rsidR="002A61FB" w:rsidRPr="00931219">
        <w:rPr>
          <w:rFonts w:ascii="Georgia" w:hAnsi="Georgia" w:hint="eastAsia"/>
          <w:lang w:val="en-GB"/>
        </w:rPr>
        <w:t>重复收取</w:t>
      </w:r>
      <w:r w:rsidR="003F1721" w:rsidRPr="00931219">
        <w:rPr>
          <w:rFonts w:ascii="Georgia" w:hAnsi="Georgia" w:hint="eastAsia"/>
          <w:lang w:val="en-GB"/>
        </w:rPr>
        <w:t>许可费。</w:t>
      </w:r>
    </w:p>
    <w:p w14:paraId="0221D676" w14:textId="77777777" w:rsidR="00844CF1" w:rsidRPr="00931219" w:rsidRDefault="00844CF1" w:rsidP="00F94366">
      <w:pPr>
        <w:widowControl/>
        <w:snapToGrid w:val="0"/>
        <w:spacing w:beforeLines="50" w:before="211" w:afterLines="50" w:after="211" w:line="300" w:lineRule="auto"/>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w:t>
      </w:r>
      <w:r w:rsidR="007B56D2" w:rsidRPr="00931219">
        <w:rPr>
          <w:rFonts w:ascii="宋体" w:hAnsi="宋体" w:cs="宋体" w:hint="eastAsia"/>
          <w:color w:val="2E74B5" w:themeColor="accent5" w:themeShade="BF"/>
          <w:lang w:val="en-GB"/>
        </w:rPr>
        <w:t>译者注</w:t>
      </w:r>
      <w:r w:rsidRPr="00931219">
        <w:rPr>
          <w:rFonts w:ascii="宋体" w:hAnsi="宋体" w:cs="宋体" w:hint="eastAsia"/>
          <w:color w:val="2E74B5" w:themeColor="accent5" w:themeShade="BF"/>
          <w:lang w:val="en-GB"/>
        </w:rPr>
        <w:t>】</w:t>
      </w:r>
    </w:p>
    <w:p w14:paraId="28BBFC32" w14:textId="5C68ECE7" w:rsidR="00C04B72" w:rsidRDefault="00844CF1" w:rsidP="00F94366">
      <w:pPr>
        <w:widowControl/>
        <w:snapToGrid w:val="0"/>
        <w:spacing w:afterLines="50" w:after="211" w:line="300" w:lineRule="auto"/>
        <w:ind w:firstLineChars="200" w:firstLine="480"/>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在专利权人与</w:t>
      </w:r>
      <w:r w:rsidR="00C04B72">
        <w:rPr>
          <w:rFonts w:ascii="宋体" w:hAnsi="宋体" w:cs="宋体" w:hint="eastAsia"/>
          <w:color w:val="2E74B5" w:themeColor="accent5" w:themeShade="BF"/>
          <w:lang w:val="en-GB"/>
        </w:rPr>
        <w:t>被告供应商</w:t>
      </w:r>
      <w:r w:rsidRPr="00931219">
        <w:rPr>
          <w:rFonts w:ascii="宋体" w:hAnsi="宋体" w:cs="宋体" w:hint="eastAsia"/>
          <w:color w:val="2E74B5" w:themeColor="accent5" w:themeShade="BF"/>
          <w:lang w:val="en-GB"/>
        </w:rPr>
        <w:t>对许可合同的内容签署保密协议的情况下，</w:t>
      </w:r>
      <w:r w:rsidR="00ED4091" w:rsidRPr="00931219">
        <w:rPr>
          <w:rFonts w:ascii="宋体" w:hAnsi="宋体" w:cs="宋体" w:hint="eastAsia"/>
          <w:color w:val="2E74B5" w:themeColor="accent5" w:themeShade="BF"/>
          <w:lang w:val="en-GB"/>
        </w:rPr>
        <w:t>由于信息不对称等原因，</w:t>
      </w:r>
      <w:r w:rsidRPr="00931219">
        <w:rPr>
          <w:rFonts w:ascii="宋体" w:hAnsi="宋体" w:cs="宋体" w:hint="eastAsia"/>
          <w:color w:val="2E74B5" w:themeColor="accent5" w:themeShade="BF"/>
          <w:lang w:val="en-GB"/>
        </w:rPr>
        <w:t>可能会</w:t>
      </w:r>
      <w:r w:rsidR="00ED4091" w:rsidRPr="00931219">
        <w:rPr>
          <w:rFonts w:ascii="宋体" w:hAnsi="宋体" w:cs="宋体" w:hint="eastAsia"/>
          <w:color w:val="2E74B5" w:themeColor="accent5" w:themeShade="BF"/>
          <w:lang w:val="en-GB"/>
        </w:rPr>
        <w:t>出现专利权人与某一产业链上下游公司就同一专利重复收取许可费的情况。但是根据权利用尽原则，这种情况下，原则上只能允许专利权人收取一次许可费。</w:t>
      </w:r>
    </w:p>
    <w:p w14:paraId="65A3999D" w14:textId="613A0EA1" w:rsidR="00844CF1" w:rsidRPr="00931219" w:rsidRDefault="00ED4091" w:rsidP="00F94366">
      <w:pPr>
        <w:widowControl/>
        <w:snapToGrid w:val="0"/>
        <w:spacing w:afterLines="50" w:after="211" w:line="300" w:lineRule="auto"/>
        <w:ind w:firstLineChars="200" w:firstLine="480"/>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被告如果</w:t>
      </w:r>
      <w:r w:rsidR="00C04B72" w:rsidRPr="00C04B72">
        <w:rPr>
          <w:rFonts w:ascii="宋体" w:hAnsi="宋体" w:cs="宋体" w:hint="eastAsia"/>
          <w:color w:val="2E74B5" w:themeColor="accent5" w:themeShade="BF"/>
          <w:lang w:val="en-GB"/>
        </w:rPr>
        <w:t>可以证明，其专利权人基于反垄断法有义务许可被告上游供货商使用专利的，且上游供货商有意获得该许可的，</w:t>
      </w:r>
      <w:r w:rsidRPr="00931219">
        <w:rPr>
          <w:rFonts w:ascii="宋体" w:hAnsi="宋体" w:cs="宋体" w:hint="eastAsia"/>
          <w:color w:val="2E74B5" w:themeColor="accent5" w:themeShade="BF"/>
          <w:lang w:val="en-GB"/>
        </w:rPr>
        <w:t>那么即使</w:t>
      </w:r>
      <w:r w:rsidR="00FB3A3D">
        <w:rPr>
          <w:rFonts w:ascii="宋体" w:hAnsi="宋体" w:cs="宋体" w:hint="eastAsia"/>
          <w:color w:val="2E74B5" w:themeColor="accent5" w:themeShade="BF"/>
          <w:lang w:val="en-GB"/>
        </w:rPr>
        <w:t>被告</w:t>
      </w:r>
      <w:r w:rsidRPr="00931219">
        <w:rPr>
          <w:rFonts w:ascii="宋体" w:hAnsi="宋体" w:cs="宋体" w:hint="eastAsia"/>
          <w:color w:val="2E74B5" w:themeColor="accent5" w:themeShade="BF"/>
          <w:lang w:val="en-GB"/>
        </w:rPr>
        <w:t>不</w:t>
      </w:r>
      <w:proofErr w:type="gramStart"/>
      <w:r w:rsidRPr="00931219">
        <w:rPr>
          <w:rFonts w:ascii="宋体" w:hAnsi="宋体" w:cs="宋体" w:hint="eastAsia"/>
          <w:color w:val="2E74B5" w:themeColor="accent5" w:themeShade="BF"/>
          <w:lang w:val="en-GB"/>
        </w:rPr>
        <w:t>作出</w:t>
      </w:r>
      <w:proofErr w:type="gramEnd"/>
      <w:r w:rsidRPr="00931219">
        <w:rPr>
          <w:rFonts w:ascii="宋体" w:hAnsi="宋体" w:cs="宋体" w:hint="eastAsia"/>
          <w:color w:val="2E74B5" w:themeColor="accent5" w:themeShade="BF"/>
          <w:lang w:val="en-GB"/>
        </w:rPr>
        <w:t>反要约，原告（专利权人）也无权主张停止侵害请求权。此即所谓的“派生性”反垄断抗辩。</w:t>
      </w:r>
    </w:p>
    <w:p w14:paraId="11BA8B8E" w14:textId="0B5019EC" w:rsidR="00ED4091" w:rsidRPr="00931219" w:rsidRDefault="00ED4091" w:rsidP="00F94366">
      <w:pPr>
        <w:widowControl/>
        <w:snapToGrid w:val="0"/>
        <w:spacing w:afterLines="50" w:after="211" w:line="300" w:lineRule="auto"/>
        <w:ind w:firstLineChars="200" w:firstLine="480"/>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但是此条规定认为在</w:t>
      </w:r>
      <w:r w:rsidR="00414F94" w:rsidRPr="00931219">
        <w:rPr>
          <w:rFonts w:ascii="宋体" w:hAnsi="宋体" w:cs="宋体" w:hint="eastAsia"/>
          <w:color w:val="2E74B5" w:themeColor="accent5" w:themeShade="BF"/>
          <w:lang w:val="en-GB"/>
        </w:rPr>
        <w:t>同时满足下面</w:t>
      </w:r>
      <w:r w:rsidRPr="00931219">
        <w:rPr>
          <w:rFonts w:ascii="宋体" w:hAnsi="宋体" w:cs="宋体" w:hint="eastAsia"/>
          <w:color w:val="2E74B5" w:themeColor="accent5" w:themeShade="BF"/>
          <w:lang w:val="en-GB"/>
        </w:rPr>
        <w:t>两</w:t>
      </w:r>
      <w:r w:rsidR="00414F94" w:rsidRPr="00931219">
        <w:rPr>
          <w:rFonts w:ascii="宋体" w:hAnsi="宋体" w:cs="宋体" w:hint="eastAsia"/>
          <w:color w:val="2E74B5" w:themeColor="accent5" w:themeShade="BF"/>
          <w:lang w:val="en-GB"/>
        </w:rPr>
        <w:t>个条件的情况</w:t>
      </w:r>
      <w:r w:rsidRPr="00931219">
        <w:rPr>
          <w:rFonts w:ascii="宋体" w:hAnsi="宋体" w:cs="宋体" w:hint="eastAsia"/>
          <w:color w:val="2E74B5" w:themeColor="accent5" w:themeShade="BF"/>
          <w:lang w:val="en-GB"/>
        </w:rPr>
        <w:t>下，这种“派生性”反垄断抗辩不能成立：</w:t>
      </w:r>
      <w:r w:rsidR="00414F94" w:rsidRPr="00931219">
        <w:rPr>
          <w:rFonts w:ascii="宋体" w:hAnsi="宋体" w:cs="宋体" w:hint="eastAsia"/>
          <w:color w:val="2E74B5" w:themeColor="accent5" w:themeShade="BF"/>
          <w:lang w:val="en-GB"/>
        </w:rPr>
        <w:t>一、原告的要约中包含了一个具有追溯力的“调整条款”，明确规定如果存在违反权利用尽规则的重复许可的情形，可以退还相应的许可费；二、原告允许产业链上下游企业互相沟通相关许可信息，</w:t>
      </w:r>
      <w:r w:rsidR="00C52D7E" w:rsidRPr="00C52D7E">
        <w:rPr>
          <w:rFonts w:ascii="宋体" w:hAnsi="宋体" w:cs="宋体" w:hint="eastAsia"/>
          <w:color w:val="2E74B5" w:themeColor="accent5" w:themeShade="BF"/>
          <w:lang w:val="en-GB"/>
        </w:rPr>
        <w:t>而不会违反相关保密条款的要求</w:t>
      </w:r>
      <w:r w:rsidR="00414F94" w:rsidRPr="00931219">
        <w:rPr>
          <w:rFonts w:ascii="宋体" w:hAnsi="宋体" w:cs="宋体" w:hint="eastAsia"/>
          <w:color w:val="2E74B5" w:themeColor="accent5" w:themeShade="BF"/>
          <w:lang w:val="en-GB"/>
        </w:rPr>
        <w:t>。</w:t>
      </w:r>
    </w:p>
    <w:p w14:paraId="337F8015" w14:textId="1AFF27A3" w:rsidR="007B56D2" w:rsidRPr="00931219" w:rsidRDefault="00414F94" w:rsidP="00F94366">
      <w:pPr>
        <w:widowControl/>
        <w:snapToGrid w:val="0"/>
        <w:spacing w:afterLines="50" w:after="211" w:line="300" w:lineRule="auto"/>
        <w:ind w:firstLineChars="200" w:firstLine="480"/>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综合来看，</w:t>
      </w:r>
      <w:r w:rsidR="007B56D2" w:rsidRPr="00931219">
        <w:rPr>
          <w:rFonts w:ascii="宋体" w:hAnsi="宋体" w:cs="宋体" w:hint="eastAsia"/>
          <w:color w:val="2E74B5" w:themeColor="accent5" w:themeShade="BF"/>
          <w:lang w:val="en-GB"/>
        </w:rPr>
        <w:t>此条规定目的在于说明，</w:t>
      </w:r>
      <w:r w:rsidR="007A61F8" w:rsidRPr="007A61F8">
        <w:rPr>
          <w:rFonts w:ascii="宋体" w:hAnsi="宋体" w:cs="宋体" w:hint="eastAsia"/>
          <w:color w:val="2E74B5" w:themeColor="accent5" w:themeShade="BF"/>
          <w:lang w:val="en-GB"/>
        </w:rPr>
        <w:t>只要原告在许可合同的拟定时注意上述两个方面，</w:t>
      </w:r>
      <w:r w:rsidR="007B56D2" w:rsidRPr="00931219">
        <w:rPr>
          <w:rFonts w:ascii="宋体" w:hAnsi="宋体" w:cs="宋体" w:hint="eastAsia"/>
          <w:color w:val="2E74B5" w:themeColor="accent5" w:themeShade="BF"/>
          <w:lang w:val="en-GB"/>
        </w:rPr>
        <w:t>被告</w:t>
      </w:r>
      <w:bookmarkStart w:id="8" w:name="_GoBack"/>
      <w:r w:rsidR="007A61F8">
        <w:rPr>
          <w:rFonts w:ascii="宋体" w:hAnsi="宋体" w:cs="宋体" w:hint="eastAsia"/>
          <w:color w:val="2E74B5" w:themeColor="accent5" w:themeShade="BF"/>
          <w:lang w:val="en-GB"/>
        </w:rPr>
        <w:t>就</w:t>
      </w:r>
      <w:bookmarkEnd w:id="8"/>
      <w:r w:rsidRPr="00931219">
        <w:rPr>
          <w:rFonts w:ascii="宋体" w:hAnsi="宋体" w:cs="宋体" w:hint="eastAsia"/>
          <w:color w:val="2E74B5" w:themeColor="accent5" w:themeShade="BF"/>
          <w:lang w:val="en-GB"/>
        </w:rPr>
        <w:t>很难</w:t>
      </w:r>
      <w:r w:rsidR="007B56D2" w:rsidRPr="00931219">
        <w:rPr>
          <w:rFonts w:ascii="宋体" w:hAnsi="宋体" w:cs="宋体" w:hint="eastAsia"/>
          <w:color w:val="2E74B5" w:themeColor="accent5" w:themeShade="BF"/>
          <w:lang w:val="en-GB"/>
        </w:rPr>
        <w:t>主张所谓的“派生性”反垄断抗辩。</w:t>
      </w:r>
    </w:p>
    <w:p w14:paraId="4E2A0E88" w14:textId="3C2EF86B" w:rsidR="009D6CE0" w:rsidRPr="00931219" w:rsidRDefault="00F83189" w:rsidP="000312F4">
      <w:pPr>
        <w:widowControl/>
        <w:snapToGrid w:val="0"/>
        <w:spacing w:afterLines="100" w:after="423" w:line="360" w:lineRule="auto"/>
        <w:rPr>
          <w:rFonts w:ascii="宋体" w:hAnsi="宋体" w:cs="宋体"/>
          <w:lang w:val="en-GB"/>
        </w:rPr>
      </w:pPr>
      <w:r w:rsidRPr="00F94366">
        <w:rPr>
          <w:rFonts w:cs="Times New Roman"/>
          <w:color w:val="BFBFBF" w:themeColor="background1" w:themeShade="BF"/>
          <w:lang w:val="de-DE"/>
        </w:rPr>
        <w:t xml:space="preserve">    </w:t>
      </w:r>
      <w:r w:rsidR="00B4457B" w:rsidRPr="00F94366">
        <w:rPr>
          <w:rFonts w:cs="Times New Roman"/>
          <w:lang w:val="de-DE"/>
        </w:rPr>
        <w:t xml:space="preserve">c) </w:t>
      </w:r>
      <w:r w:rsidR="00B4457B" w:rsidRPr="00F94366">
        <w:rPr>
          <w:rFonts w:cs="Times New Roman"/>
          <w:lang w:val="de-DE"/>
        </w:rPr>
        <w:t>原告对其提出的要约承担次级举证</w:t>
      </w:r>
      <w:r w:rsidR="008A479C" w:rsidRPr="00F94366">
        <w:rPr>
          <w:rFonts w:cs="Times New Roman"/>
          <w:lang w:val="de-DE"/>
        </w:rPr>
        <w:t>责任</w:t>
      </w:r>
      <w:r w:rsidR="00B4457B" w:rsidRPr="00F94366">
        <w:rPr>
          <w:rFonts w:cs="Times New Roman"/>
          <w:lang w:val="de-DE"/>
        </w:rPr>
        <w:t>，在相关信息未公开或者被告尚</w:t>
      </w:r>
      <w:r w:rsidR="00B4457B" w:rsidRPr="00931219">
        <w:rPr>
          <w:rFonts w:ascii="Georgia" w:hAnsi="Georgia" w:hint="eastAsia"/>
          <w:lang w:val="de-DE"/>
        </w:rPr>
        <w:t>不</w:t>
      </w:r>
      <w:r w:rsidR="00A651A8" w:rsidRPr="00931219">
        <w:rPr>
          <w:rFonts w:ascii="Georgia" w:hAnsi="Georgia" w:hint="eastAsia"/>
          <w:lang w:val="de-DE"/>
        </w:rPr>
        <w:t>知情的情况下，原告必须告知</w:t>
      </w:r>
      <w:r w:rsidR="00696343" w:rsidRPr="00931219">
        <w:rPr>
          <w:rFonts w:ascii="宋体" w:hAnsi="宋体" w:cs="宋体" w:hint="eastAsia"/>
          <w:lang w:val="de-DE"/>
        </w:rPr>
        <w:t>其在此之前是否已经与第三方签署过（在许可期限与许可内容上可相比较的）许可合同以及具体是以何种条件签订的这些合同</w:t>
      </w:r>
      <w:r w:rsidR="009D6CE0" w:rsidRPr="00931219">
        <w:rPr>
          <w:rFonts w:ascii="宋体" w:hAnsi="宋体" w:cs="宋体" w:hint="eastAsia"/>
          <w:lang w:val="en-GB"/>
        </w:rPr>
        <w:t>。即使与第三方的许可合同是由</w:t>
      </w:r>
      <w:r w:rsidR="008A479C" w:rsidRPr="00931219">
        <w:rPr>
          <w:rFonts w:ascii="宋体" w:hAnsi="宋体" w:cs="宋体" w:hint="eastAsia"/>
          <w:lang w:val="en-GB"/>
        </w:rPr>
        <w:t>诉争</w:t>
      </w:r>
      <w:r w:rsidR="00000F19" w:rsidRPr="00931219">
        <w:rPr>
          <w:rFonts w:ascii="宋体" w:hAnsi="宋体" w:cs="宋体" w:hint="eastAsia"/>
          <w:lang w:val="en-GB"/>
        </w:rPr>
        <w:t>专利</w:t>
      </w:r>
      <w:r w:rsidR="009D6CE0" w:rsidRPr="00931219">
        <w:rPr>
          <w:rFonts w:ascii="宋体" w:hAnsi="宋体" w:cs="宋体" w:hint="eastAsia"/>
          <w:lang w:val="en-GB"/>
        </w:rPr>
        <w:t>的前手</w:t>
      </w:r>
      <w:r w:rsidR="00000F19" w:rsidRPr="00931219">
        <w:rPr>
          <w:rFonts w:ascii="宋体" w:hAnsi="宋体" w:cs="宋体" w:hint="eastAsia"/>
          <w:lang w:val="en-GB"/>
        </w:rPr>
        <w:t>出让人缔结，原告作为后手受让人仍然对此承担次级举证</w:t>
      </w:r>
      <w:r w:rsidR="008A479C" w:rsidRPr="00931219">
        <w:rPr>
          <w:rFonts w:ascii="宋体" w:hAnsi="宋体" w:cs="宋体" w:hint="eastAsia"/>
          <w:lang w:val="en-GB"/>
        </w:rPr>
        <w:t>责任</w:t>
      </w:r>
      <w:r w:rsidR="00000F19" w:rsidRPr="00931219">
        <w:rPr>
          <w:rFonts w:ascii="宋体" w:hAnsi="宋体" w:cs="宋体" w:hint="eastAsia"/>
          <w:lang w:val="en-GB"/>
        </w:rPr>
        <w:t>。在涉及多次转让以及/或者专利</w:t>
      </w:r>
      <w:r w:rsidR="00164A38" w:rsidRPr="00931219">
        <w:rPr>
          <w:rFonts w:ascii="宋体" w:hAnsi="宋体" w:cs="宋体" w:hint="eastAsia"/>
          <w:lang w:val="en-GB"/>
        </w:rPr>
        <w:t>包</w:t>
      </w:r>
      <w:r w:rsidR="00000F19" w:rsidRPr="00931219">
        <w:rPr>
          <w:rFonts w:ascii="宋体" w:hAnsi="宋体" w:cs="宋体" w:hint="eastAsia"/>
          <w:lang w:val="en-GB"/>
        </w:rPr>
        <w:t>的内容发生改变的复杂情形时，法庭可以根据个案情况来确定原告信息披露的</w:t>
      </w:r>
      <w:r w:rsidR="008A479C" w:rsidRPr="00931219">
        <w:rPr>
          <w:rFonts w:ascii="宋体" w:hAnsi="宋体" w:cs="宋体" w:hint="eastAsia"/>
          <w:lang w:val="en-GB"/>
        </w:rPr>
        <w:t>具体</w:t>
      </w:r>
      <w:r w:rsidR="00000F19" w:rsidRPr="00931219">
        <w:rPr>
          <w:rFonts w:ascii="宋体" w:hAnsi="宋体" w:cs="宋体" w:hint="eastAsia"/>
          <w:lang w:val="en-GB"/>
        </w:rPr>
        <w:t>程度。</w:t>
      </w:r>
    </w:p>
    <w:p w14:paraId="10DD70E7" w14:textId="2A74B561" w:rsidR="008A479C" w:rsidRPr="00931219" w:rsidRDefault="00F83189" w:rsidP="00F94366">
      <w:pPr>
        <w:widowControl/>
        <w:snapToGrid w:val="0"/>
        <w:spacing w:line="360" w:lineRule="auto"/>
        <w:rPr>
          <w:rFonts w:ascii="宋体" w:hAnsi="宋体" w:cs="宋体"/>
          <w:lang w:val="de-DE"/>
        </w:rPr>
      </w:pPr>
      <w:r w:rsidRPr="00F94366">
        <w:rPr>
          <w:rFonts w:cs="Times New Roman"/>
          <w:color w:val="BFBFBF" w:themeColor="background1" w:themeShade="BF"/>
          <w:lang w:val="de-DE"/>
        </w:rPr>
        <w:t xml:space="preserve">    </w:t>
      </w:r>
      <w:r w:rsidR="008A479C" w:rsidRPr="00F94366">
        <w:rPr>
          <w:rFonts w:cs="Times New Roman"/>
          <w:lang w:val="de-DE"/>
        </w:rPr>
        <w:t xml:space="preserve">d) </w:t>
      </w:r>
      <w:r w:rsidR="001344C4" w:rsidRPr="00F94366">
        <w:rPr>
          <w:rFonts w:cs="Times New Roman"/>
          <w:lang w:val="de-DE"/>
        </w:rPr>
        <w:t>在</w:t>
      </w:r>
      <w:r w:rsidR="008A479C" w:rsidRPr="00F94366">
        <w:rPr>
          <w:rFonts w:cs="Times New Roman"/>
          <w:lang w:val="de-DE"/>
        </w:rPr>
        <w:t>原告向被告提出的要约中包含一个合理、充分</w:t>
      </w:r>
      <w:r w:rsidR="003F1721" w:rsidRPr="00F94366">
        <w:rPr>
          <w:rFonts w:cs="Times New Roman"/>
          <w:lang w:val="de-DE"/>
        </w:rPr>
        <w:t>并</w:t>
      </w:r>
      <w:r w:rsidR="008A479C" w:rsidRPr="00F94366">
        <w:rPr>
          <w:rFonts w:cs="Times New Roman"/>
          <w:lang w:val="de-DE"/>
        </w:rPr>
        <w:t>具有追溯力的</w:t>
      </w:r>
      <w:proofErr w:type="gramStart"/>
      <w:r w:rsidR="008A479C" w:rsidRPr="00F94366">
        <w:rPr>
          <w:rFonts w:cs="Times New Roman"/>
          <w:lang w:val="de-DE"/>
        </w:rPr>
        <w:t>最</w:t>
      </w:r>
      <w:proofErr w:type="gramEnd"/>
      <w:r w:rsidR="008A479C" w:rsidRPr="00F94366">
        <w:rPr>
          <w:rFonts w:cs="Times New Roman"/>
          <w:lang w:val="de-DE"/>
        </w:rPr>
        <w:t>惠待</w:t>
      </w:r>
      <w:r w:rsidR="008A479C" w:rsidRPr="00931219">
        <w:rPr>
          <w:rFonts w:ascii="宋体" w:hAnsi="宋体" w:cs="宋体" w:hint="eastAsia"/>
          <w:lang w:val="de-DE"/>
        </w:rPr>
        <w:t>遇条款</w:t>
      </w:r>
      <w:r w:rsidR="001344C4" w:rsidRPr="00931219">
        <w:rPr>
          <w:rFonts w:ascii="宋体" w:hAnsi="宋体" w:cs="宋体" w:hint="eastAsia"/>
          <w:lang w:val="de-DE"/>
        </w:rPr>
        <w:t>的情况下</w:t>
      </w:r>
      <w:r w:rsidR="008A479C" w:rsidRPr="00931219">
        <w:rPr>
          <w:rFonts w:ascii="宋体" w:hAnsi="宋体" w:cs="宋体" w:hint="eastAsia"/>
          <w:lang w:val="de-DE"/>
        </w:rPr>
        <w:t>（这种</w:t>
      </w:r>
      <w:r w:rsidR="001344C4" w:rsidRPr="00931219">
        <w:rPr>
          <w:rFonts w:ascii="宋体" w:hAnsi="宋体" w:cs="宋体" w:hint="eastAsia"/>
          <w:lang w:val="de-DE"/>
        </w:rPr>
        <w:t>情况</w:t>
      </w:r>
      <w:r w:rsidR="008A479C" w:rsidRPr="00931219">
        <w:rPr>
          <w:rFonts w:ascii="宋体" w:hAnsi="宋体" w:cs="宋体" w:hint="eastAsia"/>
          <w:lang w:val="de-DE"/>
        </w:rPr>
        <w:t>一般在专利权人</w:t>
      </w:r>
      <w:r w:rsidR="007971D1" w:rsidRPr="00931219">
        <w:rPr>
          <w:rFonts w:ascii="宋体" w:hAnsi="宋体" w:cs="宋体" w:hint="eastAsia"/>
          <w:lang w:val="de-DE"/>
        </w:rPr>
        <w:t>首次</w:t>
      </w:r>
      <w:r w:rsidR="008A479C" w:rsidRPr="00931219">
        <w:rPr>
          <w:rFonts w:ascii="宋体" w:hAnsi="宋体" w:cs="宋体" w:hint="eastAsia"/>
          <w:lang w:val="de-DE"/>
        </w:rPr>
        <w:t>许可时较常见）</w:t>
      </w:r>
      <w:r w:rsidR="00D67F2B" w:rsidRPr="00931219">
        <w:rPr>
          <w:rFonts w:ascii="宋体" w:hAnsi="宋体" w:cs="宋体" w:hint="eastAsia"/>
          <w:lang w:val="de-DE"/>
        </w:rPr>
        <w:t>，</w:t>
      </w:r>
      <w:r w:rsidR="001344C4" w:rsidRPr="00931219">
        <w:rPr>
          <w:rFonts w:ascii="宋体" w:hAnsi="宋体" w:cs="宋体" w:hint="eastAsia"/>
          <w:lang w:val="de-DE"/>
        </w:rPr>
        <w:t>如果</w:t>
      </w:r>
      <w:r w:rsidR="00973C02" w:rsidRPr="00931219">
        <w:rPr>
          <w:rFonts w:ascii="宋体" w:hAnsi="宋体" w:cs="宋体" w:hint="eastAsia"/>
          <w:lang w:val="de-DE"/>
        </w:rPr>
        <w:t>被告对该要约中的许可费率不满意，被告</w:t>
      </w:r>
      <w:r w:rsidR="001344C4" w:rsidRPr="00931219">
        <w:rPr>
          <w:rFonts w:ascii="宋体" w:hAnsi="宋体" w:cs="宋体" w:hint="eastAsia"/>
          <w:lang w:val="de-DE"/>
        </w:rPr>
        <w:t>必须</w:t>
      </w:r>
      <w:r w:rsidR="003F1721" w:rsidRPr="00931219">
        <w:rPr>
          <w:rFonts w:ascii="宋体" w:hAnsi="宋体" w:cs="宋体" w:hint="eastAsia"/>
          <w:lang w:val="de-DE"/>
        </w:rPr>
        <w:t>陈述</w:t>
      </w:r>
      <w:r w:rsidR="00973C02" w:rsidRPr="00931219">
        <w:rPr>
          <w:rFonts w:ascii="宋体" w:hAnsi="宋体" w:cs="宋体" w:hint="eastAsia"/>
          <w:lang w:val="de-DE"/>
        </w:rPr>
        <w:t>并证明要约中许可费率</w:t>
      </w:r>
      <w:r w:rsidR="001344C4" w:rsidRPr="00931219">
        <w:rPr>
          <w:rFonts w:ascii="宋体" w:hAnsi="宋体" w:cs="宋体" w:hint="eastAsia"/>
          <w:lang w:val="de-DE"/>
        </w:rPr>
        <w:t>仍然过高。如果被告主张之前的许可合同</w:t>
      </w:r>
      <w:r w:rsidR="00CC75DB" w:rsidRPr="00931219">
        <w:rPr>
          <w:rFonts w:ascii="宋体" w:hAnsi="宋体" w:cs="宋体" w:hint="eastAsia"/>
          <w:lang w:val="de-DE"/>
        </w:rPr>
        <w:t>是被许可方在受到压力的情况下所缔结的，则被告必须</w:t>
      </w:r>
      <w:r w:rsidR="003F1721" w:rsidRPr="00931219">
        <w:rPr>
          <w:rFonts w:ascii="宋体" w:hAnsi="宋体" w:cs="宋体" w:hint="eastAsia"/>
          <w:lang w:val="de-DE"/>
        </w:rPr>
        <w:lastRenderedPageBreak/>
        <w:t>陈述</w:t>
      </w:r>
      <w:r w:rsidR="00CC75DB" w:rsidRPr="00931219">
        <w:rPr>
          <w:rFonts w:ascii="宋体" w:hAnsi="宋体" w:cs="宋体" w:hint="eastAsia"/>
          <w:lang w:val="de-DE"/>
        </w:rPr>
        <w:t>并证明如果没有这种压力的存在，双方会以更低的许可费率或者对被许可人更优惠的条件达成许可合同。</w:t>
      </w:r>
    </w:p>
    <w:p w14:paraId="53DA3F8A" w14:textId="77777777" w:rsidR="000D5412" w:rsidRPr="00931219" w:rsidRDefault="000D5412" w:rsidP="00F94366">
      <w:pPr>
        <w:widowControl/>
        <w:snapToGrid w:val="0"/>
        <w:spacing w:beforeLines="50" w:before="211" w:afterLines="50" w:after="211" w:line="300" w:lineRule="auto"/>
        <w:rPr>
          <w:rFonts w:ascii="宋体" w:hAnsi="宋体" w:cs="宋体"/>
          <w:color w:val="2E74B5" w:themeColor="accent5" w:themeShade="BF"/>
          <w:lang w:val="en-GB"/>
        </w:rPr>
      </w:pPr>
      <w:r w:rsidRPr="00931219">
        <w:rPr>
          <w:rFonts w:ascii="宋体" w:hAnsi="宋体" w:cs="宋体" w:hint="eastAsia"/>
          <w:color w:val="2E74B5" w:themeColor="accent5" w:themeShade="BF"/>
          <w:lang w:val="en-GB"/>
        </w:rPr>
        <w:t>【译者注】</w:t>
      </w:r>
    </w:p>
    <w:p w14:paraId="42A1CA4A" w14:textId="3D456EF8" w:rsidR="000D5412" w:rsidRPr="00931219" w:rsidRDefault="000D5412" w:rsidP="00F94366">
      <w:pPr>
        <w:widowControl/>
        <w:snapToGrid w:val="0"/>
        <w:spacing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在首次许可中，为了打消被许可人的顾虑，专利权人经常会在许可合同中加入一个</w:t>
      </w:r>
      <w:proofErr w:type="gramStart"/>
      <w:r w:rsidRPr="00931219">
        <w:rPr>
          <w:rFonts w:ascii="宋体" w:hAnsi="宋体" w:cs="宋体" w:hint="eastAsia"/>
          <w:color w:val="2E74B5" w:themeColor="accent5" w:themeShade="BF"/>
          <w:lang w:val="de-DE"/>
        </w:rPr>
        <w:t>最</w:t>
      </w:r>
      <w:proofErr w:type="gramEnd"/>
      <w:r w:rsidRPr="00931219">
        <w:rPr>
          <w:rFonts w:ascii="宋体" w:hAnsi="宋体" w:cs="宋体" w:hint="eastAsia"/>
          <w:color w:val="2E74B5" w:themeColor="accent5" w:themeShade="BF"/>
          <w:lang w:val="de-DE"/>
        </w:rPr>
        <w:t>惠待遇条款。如果签署了这么一个条款，专利权人有义务向该被许可人告知后续签约的情况，无论其与后续签约的第三方有无保密协议。此规定在于说明，即使有这么一个</w:t>
      </w:r>
      <w:proofErr w:type="gramStart"/>
      <w:r w:rsidRPr="00931219">
        <w:rPr>
          <w:rFonts w:ascii="宋体" w:hAnsi="宋体" w:cs="宋体" w:hint="eastAsia"/>
          <w:color w:val="2E74B5" w:themeColor="accent5" w:themeShade="BF"/>
          <w:lang w:val="de-DE"/>
        </w:rPr>
        <w:t>最</w:t>
      </w:r>
      <w:proofErr w:type="gramEnd"/>
      <w:r w:rsidRPr="00931219">
        <w:rPr>
          <w:rFonts w:ascii="宋体" w:hAnsi="宋体" w:cs="宋体" w:hint="eastAsia"/>
          <w:color w:val="2E74B5" w:themeColor="accent5" w:themeShade="BF"/>
          <w:lang w:val="de-DE"/>
        </w:rPr>
        <w:t>惠待遇条款，被告仍然可以主张原告的要约条件高到完全难以接受，而拒绝对原告的要约</w:t>
      </w:r>
      <w:proofErr w:type="gramStart"/>
      <w:r w:rsidRPr="00931219">
        <w:rPr>
          <w:rFonts w:ascii="宋体" w:hAnsi="宋体" w:cs="宋体" w:hint="eastAsia"/>
          <w:color w:val="2E74B5" w:themeColor="accent5" w:themeShade="BF"/>
          <w:lang w:val="de-DE"/>
        </w:rPr>
        <w:t>作出</w:t>
      </w:r>
      <w:proofErr w:type="gramEnd"/>
      <w:r w:rsidRPr="00931219">
        <w:rPr>
          <w:rFonts w:ascii="宋体" w:hAnsi="宋体" w:cs="宋体" w:hint="eastAsia"/>
          <w:color w:val="2E74B5" w:themeColor="accent5" w:themeShade="BF"/>
          <w:lang w:val="de-DE"/>
        </w:rPr>
        <w:t>反要约。</w:t>
      </w:r>
    </w:p>
    <w:p w14:paraId="66431C52" w14:textId="3AFB9A31" w:rsidR="00EF5369" w:rsidRPr="00931219" w:rsidRDefault="00341FE9" w:rsidP="00F94366">
      <w:pPr>
        <w:widowControl/>
        <w:snapToGrid w:val="0"/>
        <w:spacing w:line="360" w:lineRule="auto"/>
        <w:rPr>
          <w:rFonts w:ascii="宋体" w:hAnsi="宋体" w:cs="宋体"/>
          <w:highlight w:val="cyan"/>
          <w:lang w:val="de-DE"/>
        </w:rPr>
      </w:pPr>
      <w:r>
        <w:rPr>
          <w:rFonts w:ascii="Georgia" w:hAnsi="Georgia"/>
          <w:color w:val="BFBFBF" w:themeColor="background1" w:themeShade="BF"/>
          <w:lang w:val="de-DE"/>
        </w:rPr>
        <w:t xml:space="preserve">   </w:t>
      </w:r>
      <w:r w:rsidRPr="00F94366">
        <w:rPr>
          <w:rFonts w:cs="Times New Roman"/>
          <w:color w:val="BFBFBF" w:themeColor="background1" w:themeShade="BF"/>
          <w:lang w:val="de-DE"/>
        </w:rPr>
        <w:t xml:space="preserve"> </w:t>
      </w:r>
      <w:r w:rsidR="00EF5369" w:rsidRPr="00F94366">
        <w:rPr>
          <w:rFonts w:cs="Times New Roman"/>
          <w:lang w:val="de-DE"/>
        </w:rPr>
        <w:t xml:space="preserve">e) </w:t>
      </w:r>
      <w:r w:rsidR="00BB1762" w:rsidRPr="00F94366">
        <w:rPr>
          <w:rFonts w:cs="Times New Roman"/>
          <w:lang w:val="de-DE"/>
        </w:rPr>
        <w:t>若</w:t>
      </w:r>
      <w:r w:rsidR="00EF5369" w:rsidRPr="00F94366">
        <w:rPr>
          <w:rFonts w:cs="Times New Roman"/>
          <w:lang w:val="de-DE"/>
        </w:rPr>
        <w:t>被告</w:t>
      </w:r>
      <w:r w:rsidR="005B7270" w:rsidRPr="00F94366">
        <w:rPr>
          <w:rFonts w:cs="Times New Roman"/>
          <w:lang w:val="de-DE"/>
        </w:rPr>
        <w:t>（在</w:t>
      </w:r>
      <w:proofErr w:type="gramStart"/>
      <w:r w:rsidR="005B7270" w:rsidRPr="00F94366">
        <w:rPr>
          <w:rFonts w:cs="Times New Roman"/>
          <w:lang w:val="de-DE"/>
        </w:rPr>
        <w:t>必要履行</w:t>
      </w:r>
      <w:proofErr w:type="gramEnd"/>
      <w:r w:rsidR="005B7270" w:rsidRPr="00F94366">
        <w:rPr>
          <w:rFonts w:cs="Times New Roman"/>
          <w:lang w:val="de-DE"/>
        </w:rPr>
        <w:t>步骤的第</w:t>
      </w:r>
      <w:r w:rsidR="005B7270" w:rsidRPr="00F94366">
        <w:rPr>
          <w:rFonts w:cs="Times New Roman"/>
          <w:lang w:val="de-DE"/>
        </w:rPr>
        <w:t>2</w:t>
      </w:r>
      <w:r w:rsidR="005B7270" w:rsidRPr="00F94366">
        <w:rPr>
          <w:rFonts w:cs="Times New Roman"/>
          <w:lang w:val="de-DE"/>
        </w:rPr>
        <w:t>步和第</w:t>
      </w:r>
      <w:r w:rsidR="005B7270" w:rsidRPr="00F94366">
        <w:rPr>
          <w:rFonts w:cs="Times New Roman"/>
          <w:lang w:val="de-DE"/>
        </w:rPr>
        <w:t>4</w:t>
      </w:r>
      <w:r w:rsidR="005B7270" w:rsidRPr="00F94366">
        <w:rPr>
          <w:rFonts w:cs="Times New Roman"/>
          <w:lang w:val="de-DE"/>
        </w:rPr>
        <w:t>步中）</w:t>
      </w:r>
      <w:r w:rsidR="00EF5369" w:rsidRPr="00931219">
        <w:rPr>
          <w:rFonts w:ascii="宋体" w:hAnsi="宋体" w:cs="宋体" w:hint="eastAsia"/>
          <w:lang w:val="de-DE"/>
        </w:rPr>
        <w:t>针对专利</w:t>
      </w:r>
      <w:r w:rsidR="00E151E7" w:rsidRPr="00931219">
        <w:rPr>
          <w:rFonts w:ascii="宋体" w:hAnsi="宋体" w:cs="宋体" w:hint="eastAsia"/>
          <w:lang w:val="de-DE"/>
        </w:rPr>
        <w:t>包</w:t>
      </w:r>
      <w:r w:rsidR="00EF5369" w:rsidRPr="00931219">
        <w:rPr>
          <w:rFonts w:ascii="宋体" w:hAnsi="宋体" w:cs="宋体" w:hint="eastAsia"/>
          <w:lang w:val="de-DE"/>
        </w:rPr>
        <w:t>中的某些专利</w:t>
      </w:r>
      <w:r w:rsidR="000E37FA" w:rsidRPr="00931219">
        <w:rPr>
          <w:rFonts w:ascii="宋体" w:hAnsi="宋体" w:cs="宋体" w:hint="eastAsia"/>
          <w:lang w:val="de-DE"/>
        </w:rPr>
        <w:t>（非侵权纠纷中的诉争专利）</w:t>
      </w:r>
      <w:r w:rsidR="00EF5369" w:rsidRPr="00931219">
        <w:rPr>
          <w:rFonts w:ascii="宋体" w:hAnsi="宋体" w:cs="宋体" w:hint="eastAsia"/>
          <w:lang w:val="de-DE"/>
        </w:rPr>
        <w:t>保留提起专利无效</w:t>
      </w:r>
      <w:r w:rsidR="000E37FA" w:rsidRPr="00931219">
        <w:rPr>
          <w:rFonts w:ascii="宋体" w:hAnsi="宋体" w:cs="宋体" w:hint="eastAsia"/>
          <w:lang w:val="de-DE"/>
        </w:rPr>
        <w:t>申请</w:t>
      </w:r>
      <w:r w:rsidR="00EF5369" w:rsidRPr="00931219">
        <w:rPr>
          <w:rFonts w:ascii="宋体" w:hAnsi="宋体" w:cs="宋体" w:hint="eastAsia"/>
          <w:lang w:val="de-DE"/>
        </w:rPr>
        <w:t>、</w:t>
      </w:r>
      <w:r w:rsidR="000E37FA" w:rsidRPr="00931219">
        <w:rPr>
          <w:rFonts w:ascii="宋体" w:hAnsi="宋体" w:cs="宋体" w:hint="eastAsia"/>
          <w:lang w:val="de-DE"/>
        </w:rPr>
        <w:t>提起消极否认之诉（</w:t>
      </w:r>
      <w:r w:rsidR="00EF5369" w:rsidRPr="00931219">
        <w:rPr>
          <w:rFonts w:ascii="宋体" w:hAnsi="宋体" w:cs="宋体" w:hint="eastAsia"/>
          <w:lang w:val="de-DE"/>
        </w:rPr>
        <w:t>主张未实际使用</w:t>
      </w:r>
      <w:r w:rsidR="000E37FA" w:rsidRPr="00931219">
        <w:rPr>
          <w:rFonts w:ascii="宋体" w:hAnsi="宋体" w:cs="宋体" w:hint="eastAsia"/>
          <w:lang w:val="de-DE"/>
        </w:rPr>
        <w:t>）</w:t>
      </w:r>
      <w:r w:rsidR="00EF5369" w:rsidRPr="00931219">
        <w:rPr>
          <w:rFonts w:ascii="宋体" w:hAnsi="宋体" w:cs="宋体" w:hint="eastAsia"/>
          <w:lang w:val="de-DE"/>
        </w:rPr>
        <w:t>、主张权利用尽以及</w:t>
      </w:r>
      <w:r w:rsidR="00EF5369" w:rsidRPr="00931219">
        <w:rPr>
          <w:rFonts w:ascii="宋体" w:hAnsi="宋体" w:cs="宋体"/>
          <w:lang w:val="de-DE"/>
        </w:rPr>
        <w:t>/</w:t>
      </w:r>
      <w:r w:rsidR="00EF5369" w:rsidRPr="00931219">
        <w:rPr>
          <w:rFonts w:ascii="宋体" w:hAnsi="宋体" w:cs="宋体" w:hint="eastAsia"/>
          <w:lang w:val="de-DE"/>
        </w:rPr>
        <w:t>或者</w:t>
      </w:r>
      <w:r w:rsidR="000E37FA" w:rsidRPr="00931219">
        <w:rPr>
          <w:rFonts w:ascii="宋体" w:hAnsi="宋体" w:cs="宋体" w:hint="eastAsia"/>
          <w:lang w:val="de-DE"/>
        </w:rPr>
        <w:t>相关专利已经</w:t>
      </w:r>
      <w:r w:rsidR="005B7270" w:rsidRPr="00931219">
        <w:rPr>
          <w:rFonts w:ascii="宋体" w:hAnsi="宋体" w:cs="宋体" w:hint="eastAsia"/>
          <w:lang w:val="de-DE"/>
        </w:rPr>
        <w:t>被许可（以下统称</w:t>
      </w:r>
      <w:r w:rsidR="006B3D27">
        <w:rPr>
          <w:rFonts w:ascii="宋体" w:hAnsi="宋体" w:cs="宋体" w:hint="eastAsia"/>
          <w:lang w:val="de-DE"/>
        </w:rPr>
        <w:t>“</w:t>
      </w:r>
      <w:r w:rsidR="005B7270" w:rsidRPr="00931219">
        <w:rPr>
          <w:rFonts w:ascii="宋体" w:hAnsi="宋体" w:cs="宋体" w:hint="eastAsia"/>
          <w:lang w:val="de-DE"/>
        </w:rPr>
        <w:t>抗辩</w:t>
      </w:r>
      <w:r w:rsidR="006B3D27">
        <w:rPr>
          <w:rFonts w:ascii="宋体" w:hAnsi="宋体" w:cs="宋体" w:hint="eastAsia"/>
          <w:lang w:val="de-DE"/>
        </w:rPr>
        <w:t>”</w:t>
      </w:r>
      <w:r w:rsidR="005B7270" w:rsidRPr="00931219">
        <w:rPr>
          <w:rFonts w:ascii="宋体" w:hAnsi="宋体" w:cs="宋体" w:hint="eastAsia"/>
          <w:lang w:val="de-DE"/>
        </w:rPr>
        <w:t>）的可能</w:t>
      </w:r>
      <w:r w:rsidR="000E37FA" w:rsidRPr="00931219">
        <w:rPr>
          <w:rFonts w:ascii="宋体" w:hAnsi="宋体" w:cs="宋体" w:hint="eastAsia"/>
          <w:lang w:val="de-DE"/>
        </w:rPr>
        <w:t>，</w:t>
      </w:r>
      <w:r w:rsidR="00BB1762" w:rsidRPr="00931219">
        <w:rPr>
          <w:rFonts w:ascii="宋体" w:hAnsi="宋体" w:cs="宋体" w:hint="eastAsia"/>
          <w:lang w:val="de-DE"/>
        </w:rPr>
        <w:t>被告在侵权诉讼的过程中</w:t>
      </w:r>
      <w:r w:rsidR="000E37FA" w:rsidRPr="00931219">
        <w:rPr>
          <w:rFonts w:ascii="宋体" w:hAnsi="宋体" w:cs="宋体" w:hint="eastAsia"/>
          <w:lang w:val="de-DE"/>
        </w:rPr>
        <w:t>针对这些非诉争专利提出上述抗辩理由作为对抗原告诉讼请求的</w:t>
      </w:r>
      <w:r w:rsidR="00E733FD" w:rsidRPr="00931219">
        <w:rPr>
          <w:rFonts w:ascii="宋体" w:hAnsi="宋体" w:cs="宋体" w:hint="eastAsia"/>
          <w:lang w:val="de-DE"/>
        </w:rPr>
        <w:t>防御手段</w:t>
      </w:r>
      <w:r w:rsidR="00BB1762" w:rsidRPr="00931219">
        <w:rPr>
          <w:rFonts w:ascii="宋体" w:hAnsi="宋体" w:cs="宋体" w:hint="eastAsia"/>
          <w:lang w:val="de-DE"/>
        </w:rPr>
        <w:t>，在有争议的情况下，被告必须</w:t>
      </w:r>
      <w:r w:rsidR="003F1721" w:rsidRPr="00931219">
        <w:rPr>
          <w:rFonts w:ascii="宋体" w:hAnsi="宋体" w:cs="宋体" w:hint="eastAsia"/>
          <w:lang w:val="de-DE"/>
        </w:rPr>
        <w:t>陈述</w:t>
      </w:r>
      <w:r w:rsidR="00536AAB" w:rsidRPr="00931219">
        <w:rPr>
          <w:rFonts w:ascii="宋体" w:hAnsi="宋体" w:cs="宋体" w:hint="eastAsia"/>
          <w:lang w:val="de-DE"/>
        </w:rPr>
        <w:t>并证明这些抗辩的成立。此外，被告必须</w:t>
      </w:r>
      <w:r w:rsidR="003F1721" w:rsidRPr="00931219">
        <w:rPr>
          <w:rFonts w:ascii="宋体" w:hAnsi="宋体" w:cs="宋体" w:hint="eastAsia"/>
          <w:lang w:val="de-DE"/>
        </w:rPr>
        <w:t>陈述</w:t>
      </w:r>
      <w:r w:rsidR="00E733FD" w:rsidRPr="00931219">
        <w:rPr>
          <w:rFonts w:ascii="宋体" w:hAnsi="宋体" w:cs="宋体" w:hint="eastAsia"/>
          <w:lang w:val="de-DE"/>
        </w:rPr>
        <w:t>具体事实</w:t>
      </w:r>
      <w:r w:rsidR="00536AAB" w:rsidRPr="00931219">
        <w:rPr>
          <w:rFonts w:ascii="宋体" w:hAnsi="宋体" w:cs="宋体" w:hint="eastAsia"/>
          <w:lang w:val="de-DE"/>
        </w:rPr>
        <w:t>并且在有必要的情况下证明其抗辩所针对的专利对许可费用的确定具有一定的影响。如果专利</w:t>
      </w:r>
      <w:r w:rsidR="00164A38" w:rsidRPr="00931219">
        <w:rPr>
          <w:rFonts w:ascii="宋体" w:hAnsi="宋体" w:cs="宋体" w:hint="eastAsia"/>
          <w:lang w:val="de-DE"/>
        </w:rPr>
        <w:t>包</w:t>
      </w:r>
      <w:r w:rsidR="000D053B" w:rsidRPr="00931219">
        <w:rPr>
          <w:rFonts w:ascii="宋体" w:hAnsi="宋体" w:cs="宋体" w:hint="eastAsia"/>
          <w:lang w:val="de-DE"/>
        </w:rPr>
        <w:t>不是固定的，则以言辞辩论结束为时点，只有在此时点之前授予或公开的专利和专利申请可以</w:t>
      </w:r>
      <w:r w:rsidR="00342BA6" w:rsidRPr="00931219">
        <w:rPr>
          <w:rFonts w:ascii="宋体" w:hAnsi="宋体" w:cs="宋体" w:hint="eastAsia"/>
          <w:lang w:val="de-DE"/>
        </w:rPr>
        <w:t>成</w:t>
      </w:r>
      <w:r w:rsidR="000D053B" w:rsidRPr="00931219">
        <w:rPr>
          <w:rFonts w:ascii="宋体" w:hAnsi="宋体" w:cs="宋体" w:hint="eastAsia"/>
          <w:lang w:val="de-DE"/>
        </w:rPr>
        <w:t>为被告提起抗辩的对象。针对被告的这种抗辩，原告承担次级举证责任</w:t>
      </w:r>
      <w:r w:rsidR="00FF6AB9" w:rsidRPr="00931219">
        <w:rPr>
          <w:rFonts w:ascii="宋体" w:hAnsi="宋体" w:cs="宋体" w:hint="eastAsia"/>
          <w:lang w:val="de-DE"/>
        </w:rPr>
        <w:t>，其必须说明为什么他要将这些专利放入专利</w:t>
      </w:r>
      <w:r w:rsidR="00164A38" w:rsidRPr="00931219">
        <w:rPr>
          <w:rFonts w:ascii="宋体" w:hAnsi="宋体" w:cs="宋体" w:hint="eastAsia"/>
          <w:lang w:val="de-DE"/>
        </w:rPr>
        <w:t>包</w:t>
      </w:r>
      <w:r w:rsidR="00FF6AB9" w:rsidRPr="00931219">
        <w:rPr>
          <w:rFonts w:ascii="宋体" w:hAnsi="宋体" w:cs="宋体" w:hint="eastAsia"/>
          <w:lang w:val="de-DE"/>
        </w:rPr>
        <w:t>中，以及这些专利是否并且（如果是的话）在多大程度上会影响最后的许可费。如果</w:t>
      </w:r>
      <w:r w:rsidR="00504599" w:rsidRPr="00931219">
        <w:rPr>
          <w:rFonts w:ascii="宋体" w:hAnsi="宋体" w:cs="宋体" w:hint="eastAsia"/>
          <w:lang w:val="de-DE"/>
        </w:rPr>
        <w:t>许可合同的</w:t>
      </w:r>
      <w:r w:rsidR="000E37FA" w:rsidRPr="00931219">
        <w:rPr>
          <w:rFonts w:ascii="宋体" w:hAnsi="宋体" w:cs="宋体" w:hint="eastAsia"/>
          <w:lang w:val="de-DE"/>
        </w:rPr>
        <w:t>草案中包括</w:t>
      </w:r>
      <w:r w:rsidR="00504599" w:rsidRPr="00931219">
        <w:rPr>
          <w:rFonts w:ascii="宋体" w:hAnsi="宋体" w:cs="宋体" w:hint="eastAsia"/>
          <w:lang w:val="de-DE"/>
        </w:rPr>
        <w:t>一个合理、充分并具有溯及力的“调</w:t>
      </w:r>
      <w:r w:rsidR="000E37FA" w:rsidRPr="00931219">
        <w:rPr>
          <w:rFonts w:ascii="宋体" w:hAnsi="宋体" w:cs="宋体" w:hint="eastAsia"/>
          <w:lang w:val="de-DE"/>
        </w:rPr>
        <w:t>整</w:t>
      </w:r>
      <w:r w:rsidR="00504599" w:rsidRPr="00931219">
        <w:rPr>
          <w:rFonts w:ascii="宋体" w:hAnsi="宋体" w:cs="宋体" w:hint="eastAsia"/>
          <w:lang w:val="de-DE"/>
        </w:rPr>
        <w:t>条款”</w:t>
      </w:r>
      <w:r w:rsidR="008647E4" w:rsidRPr="00931219">
        <w:rPr>
          <w:rFonts w:ascii="宋体" w:hAnsi="宋体" w:cs="宋体" w:hint="eastAsia"/>
          <w:lang w:val="de-DE"/>
        </w:rPr>
        <w:t>，</w:t>
      </w:r>
      <w:r w:rsidR="00052AF8" w:rsidRPr="00931219">
        <w:rPr>
          <w:rFonts w:ascii="宋体" w:hAnsi="宋体" w:cs="宋体" w:hint="eastAsia"/>
          <w:lang w:val="de-DE"/>
        </w:rPr>
        <w:t>规定被告若</w:t>
      </w:r>
      <w:r w:rsidR="007971D1" w:rsidRPr="00931219">
        <w:rPr>
          <w:rFonts w:ascii="宋体" w:hAnsi="宋体" w:cs="宋体" w:hint="eastAsia"/>
          <w:lang w:val="de-DE"/>
        </w:rPr>
        <w:t>通过独立程序或在其他合同机制的框架下提起</w:t>
      </w:r>
      <w:r w:rsidR="00052AF8" w:rsidRPr="00931219">
        <w:rPr>
          <w:rFonts w:ascii="宋体" w:hAnsi="宋体" w:cs="宋体" w:hint="eastAsia"/>
          <w:lang w:val="de-DE"/>
        </w:rPr>
        <w:t>上述</w:t>
      </w:r>
      <w:r w:rsidR="007971D1" w:rsidRPr="00931219">
        <w:rPr>
          <w:rFonts w:ascii="宋体" w:hAnsi="宋体" w:cs="宋体" w:hint="eastAsia"/>
          <w:lang w:val="de-DE"/>
        </w:rPr>
        <w:t>抗辩</w:t>
      </w:r>
      <w:r w:rsidR="00942D5E" w:rsidRPr="00931219">
        <w:rPr>
          <w:rFonts w:ascii="宋体" w:hAnsi="宋体" w:cs="宋体" w:hint="eastAsia"/>
          <w:lang w:val="de-DE"/>
        </w:rPr>
        <w:t>成立，就</w:t>
      </w:r>
      <w:r w:rsidR="00052AF8" w:rsidRPr="00931219">
        <w:rPr>
          <w:rFonts w:ascii="宋体" w:hAnsi="宋体" w:cs="宋体" w:hint="eastAsia"/>
          <w:lang w:val="de-DE"/>
        </w:rPr>
        <w:t>可以相应地</w:t>
      </w:r>
      <w:r w:rsidR="000E37FA" w:rsidRPr="00931219">
        <w:rPr>
          <w:rFonts w:ascii="宋体" w:hAnsi="宋体" w:cs="宋体" w:hint="eastAsia"/>
          <w:lang w:val="de-DE"/>
        </w:rPr>
        <w:t>退还</w:t>
      </w:r>
      <w:r w:rsidR="00052AF8" w:rsidRPr="00931219">
        <w:rPr>
          <w:rFonts w:ascii="宋体" w:hAnsi="宋体" w:cs="宋体" w:hint="eastAsia"/>
          <w:lang w:val="de-DE"/>
        </w:rPr>
        <w:t>许可费用</w:t>
      </w:r>
      <w:r w:rsidR="007971D1" w:rsidRPr="00931219">
        <w:rPr>
          <w:rFonts w:ascii="宋体" w:hAnsi="宋体" w:cs="宋体" w:hint="eastAsia"/>
          <w:lang w:val="de-DE"/>
        </w:rPr>
        <w:t>，在这样的情况下被告</w:t>
      </w:r>
      <w:r w:rsidR="00942D5E" w:rsidRPr="00931219">
        <w:rPr>
          <w:rFonts w:ascii="宋体" w:hAnsi="宋体" w:cs="宋体" w:hint="eastAsia"/>
          <w:lang w:val="de-DE"/>
        </w:rPr>
        <w:t>就</w:t>
      </w:r>
      <w:r w:rsidR="007971D1" w:rsidRPr="00931219">
        <w:rPr>
          <w:rFonts w:ascii="宋体" w:hAnsi="宋体" w:cs="宋体" w:hint="eastAsia"/>
          <w:lang w:val="de-DE"/>
        </w:rPr>
        <w:t>不能再在诉讼过程中将这些抗辩作为防御手段提出。</w:t>
      </w:r>
    </w:p>
    <w:p w14:paraId="5EDBF2D8" w14:textId="3D688560" w:rsidR="000E37FA" w:rsidRPr="00931219" w:rsidRDefault="000E37FA" w:rsidP="00F94366">
      <w:pPr>
        <w:widowControl/>
        <w:snapToGrid w:val="0"/>
        <w:spacing w:beforeLines="50" w:before="211" w:afterLines="50" w:after="211" w:line="300" w:lineRule="auto"/>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【译者注】</w:t>
      </w:r>
    </w:p>
    <w:p w14:paraId="1F2A9498" w14:textId="2804513C" w:rsidR="000E37FA" w:rsidRPr="00931219" w:rsidRDefault="00337A6A" w:rsidP="00F94366">
      <w:pPr>
        <w:widowControl/>
        <w:snapToGrid w:val="0"/>
        <w:spacing w:beforeLines="50" w:before="211"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面对专利包中某些专利可能有问题的情况</w:t>
      </w:r>
      <w:r w:rsidR="000E37FA" w:rsidRPr="00931219">
        <w:rPr>
          <w:rFonts w:ascii="宋体" w:hAnsi="宋体" w:cs="宋体" w:hint="eastAsia"/>
          <w:color w:val="2E74B5" w:themeColor="accent5" w:themeShade="BF"/>
          <w:lang w:val="de-DE"/>
        </w:rPr>
        <w:t>，使用人有两种选择：</w:t>
      </w:r>
    </w:p>
    <w:p w14:paraId="0107A9AE" w14:textId="77777777" w:rsidR="00337A6A" w:rsidRPr="00931219" w:rsidRDefault="000E37FA" w:rsidP="00F94366">
      <w:pPr>
        <w:widowControl/>
        <w:snapToGrid w:val="0"/>
        <w:spacing w:beforeLines="50" w:before="211"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一、</w:t>
      </w:r>
      <w:r w:rsidR="00337A6A" w:rsidRPr="00931219">
        <w:rPr>
          <w:rFonts w:ascii="宋体" w:hAnsi="宋体" w:cs="宋体" w:hint="eastAsia"/>
          <w:color w:val="2E74B5" w:themeColor="accent5" w:themeShade="BF"/>
          <w:lang w:val="de-DE"/>
        </w:rPr>
        <w:t>事先排除</w:t>
      </w:r>
    </w:p>
    <w:p w14:paraId="0A06DFD8" w14:textId="3BA82099" w:rsidR="000E37FA" w:rsidRPr="00931219" w:rsidRDefault="00337A6A" w:rsidP="00F94366">
      <w:pPr>
        <w:widowControl/>
        <w:snapToGrid w:val="0"/>
        <w:spacing w:beforeLines="50" w:before="211"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针对专利权人给的专利包中的专利，使用人可以选择事先排除一些他认为有效性存在问题或者根本没有使用的专利，</w:t>
      </w:r>
      <w:proofErr w:type="gramStart"/>
      <w:r w:rsidRPr="00931219">
        <w:rPr>
          <w:rFonts w:ascii="宋体" w:hAnsi="宋体" w:cs="宋体" w:hint="eastAsia"/>
          <w:color w:val="2E74B5" w:themeColor="accent5" w:themeShade="BF"/>
          <w:lang w:val="de-DE"/>
        </w:rPr>
        <w:t>这样这些</w:t>
      </w:r>
      <w:proofErr w:type="gramEnd"/>
      <w:r w:rsidRPr="00931219">
        <w:rPr>
          <w:rFonts w:ascii="宋体" w:hAnsi="宋体" w:cs="宋体" w:hint="eastAsia"/>
          <w:color w:val="2E74B5" w:themeColor="accent5" w:themeShade="BF"/>
          <w:lang w:val="de-DE"/>
        </w:rPr>
        <w:t>被排除的专利自始不成为许可</w:t>
      </w:r>
      <w:r w:rsidR="00D372A1" w:rsidRPr="00931219">
        <w:rPr>
          <w:rFonts w:ascii="宋体" w:hAnsi="宋体" w:cs="宋体" w:hint="eastAsia"/>
          <w:color w:val="2E74B5" w:themeColor="accent5" w:themeShade="BF"/>
          <w:lang w:val="de-DE"/>
        </w:rPr>
        <w:t>合同</w:t>
      </w:r>
      <w:r w:rsidRPr="00931219">
        <w:rPr>
          <w:rFonts w:ascii="宋体" w:hAnsi="宋体" w:cs="宋体" w:hint="eastAsia"/>
          <w:color w:val="2E74B5" w:themeColor="accent5" w:themeShade="BF"/>
          <w:lang w:val="de-DE"/>
        </w:rPr>
        <w:t>的一部分。专利权人针对这些专利可以提起侵权诉讼，使用人也可以提起无</w:t>
      </w:r>
      <w:r w:rsidRPr="00931219">
        <w:rPr>
          <w:rFonts w:ascii="宋体" w:hAnsi="宋体" w:cs="宋体" w:hint="eastAsia"/>
          <w:color w:val="2E74B5" w:themeColor="accent5" w:themeShade="BF"/>
          <w:lang w:val="de-DE"/>
        </w:rPr>
        <w:lastRenderedPageBreak/>
        <w:t>效申请。但是在这种情况下，使用人在败诉的情况下不能再主张反垄断抗辩，因此会有一定的禁令风险。</w:t>
      </w:r>
    </w:p>
    <w:p w14:paraId="33F43635" w14:textId="5DA19212" w:rsidR="00337A6A" w:rsidRPr="00931219" w:rsidRDefault="00337A6A" w:rsidP="00F94366">
      <w:pPr>
        <w:widowControl/>
        <w:snapToGrid w:val="0"/>
        <w:spacing w:beforeLines="50" w:before="211"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二、事后排除</w:t>
      </w:r>
      <w:r w:rsidR="00065C21" w:rsidRPr="00931219">
        <w:rPr>
          <w:rFonts w:ascii="宋体" w:hAnsi="宋体" w:cs="宋体" w:hint="eastAsia"/>
          <w:color w:val="2E74B5" w:themeColor="accent5" w:themeShade="BF"/>
          <w:lang w:val="de-DE"/>
        </w:rPr>
        <w:t>（加入调整条款）</w:t>
      </w:r>
    </w:p>
    <w:p w14:paraId="1D5DD7B1" w14:textId="0AF877C4" w:rsidR="00337A6A" w:rsidRPr="00931219" w:rsidRDefault="00337A6A" w:rsidP="00F94366">
      <w:pPr>
        <w:widowControl/>
        <w:snapToGrid w:val="0"/>
        <w:spacing w:beforeLines="50" w:before="211" w:afterLines="50" w:after="211" w:line="300" w:lineRule="auto"/>
        <w:ind w:firstLineChars="200" w:firstLine="480"/>
        <w:rPr>
          <w:rFonts w:ascii="宋体" w:hAnsi="宋体" w:cs="宋体"/>
          <w:color w:val="2E74B5" w:themeColor="accent5" w:themeShade="BF"/>
          <w:lang w:val="de-DE"/>
        </w:rPr>
      </w:pPr>
      <w:r w:rsidRPr="00931219">
        <w:rPr>
          <w:rFonts w:ascii="宋体" w:hAnsi="宋体" w:cs="宋体" w:hint="eastAsia"/>
          <w:color w:val="2E74B5" w:themeColor="accent5" w:themeShade="BF"/>
          <w:lang w:val="de-DE"/>
        </w:rPr>
        <w:t>针对专利权人给的专利包中的专利，使用人也可以选择一揽子接受，但是在许可合同中加入一个具有溯及力的“调整条款”。即规定，使用人可以单独提起无效申请以及</w:t>
      </w:r>
      <w:proofErr w:type="gramStart"/>
      <w:r w:rsidR="00065C21" w:rsidRPr="00931219">
        <w:rPr>
          <w:rFonts w:ascii="宋体" w:hAnsi="宋体" w:cs="宋体" w:hint="eastAsia"/>
          <w:color w:val="2E74B5" w:themeColor="accent5" w:themeShade="BF"/>
          <w:lang w:val="de-DE"/>
        </w:rPr>
        <w:t>不</w:t>
      </w:r>
      <w:proofErr w:type="gramEnd"/>
      <w:r w:rsidR="00065C21" w:rsidRPr="00931219">
        <w:rPr>
          <w:rFonts w:ascii="宋体" w:hAnsi="宋体" w:cs="宋体" w:hint="eastAsia"/>
          <w:color w:val="2E74B5" w:themeColor="accent5" w:themeShade="BF"/>
          <w:lang w:val="de-DE"/>
        </w:rPr>
        <w:t>侵权之诉，在相关问题专利被无效或者法院判定</w:t>
      </w:r>
      <w:proofErr w:type="gramStart"/>
      <w:r w:rsidR="00065C21" w:rsidRPr="00931219">
        <w:rPr>
          <w:rFonts w:ascii="宋体" w:hAnsi="宋体" w:cs="宋体" w:hint="eastAsia"/>
          <w:color w:val="2E74B5" w:themeColor="accent5" w:themeShade="BF"/>
          <w:lang w:val="de-DE"/>
        </w:rPr>
        <w:t>不</w:t>
      </w:r>
      <w:proofErr w:type="gramEnd"/>
      <w:r w:rsidR="00065C21" w:rsidRPr="00931219">
        <w:rPr>
          <w:rFonts w:ascii="宋体" w:hAnsi="宋体" w:cs="宋体" w:hint="eastAsia"/>
          <w:color w:val="2E74B5" w:themeColor="accent5" w:themeShade="BF"/>
          <w:lang w:val="de-DE"/>
        </w:rPr>
        <w:t>侵权的情况下，专利权人则有义务退还使用人针对相关问题专利之前已经缴付的许可费。这样对使用人的好处是，即使在败诉的情况下，仍然可以主张反垄断抗辩，从而避免禁令风险。</w:t>
      </w:r>
    </w:p>
    <w:p w14:paraId="60AED25D" w14:textId="368E0883" w:rsidR="00CC75DB" w:rsidRPr="00931219" w:rsidRDefault="00612D23" w:rsidP="000312F4">
      <w:pPr>
        <w:widowControl/>
        <w:snapToGrid w:val="0"/>
        <w:spacing w:afterLines="100" w:after="423" w:line="360" w:lineRule="auto"/>
        <w:rPr>
          <w:rFonts w:ascii="宋体" w:hAnsi="宋体" w:cs="宋体"/>
          <w:lang w:val="de-DE"/>
        </w:rPr>
      </w:pPr>
      <w:r>
        <w:rPr>
          <w:rFonts w:cs="Times New Roman"/>
          <w:color w:val="BFBFBF" w:themeColor="background1" w:themeShade="BF"/>
          <w:lang w:val="de-DE"/>
        </w:rPr>
        <w:t xml:space="preserve">    </w:t>
      </w:r>
      <w:r w:rsidR="00CC75DB" w:rsidRPr="00F94366">
        <w:rPr>
          <w:rFonts w:cs="Times New Roman"/>
          <w:lang w:val="de-DE"/>
        </w:rPr>
        <w:t xml:space="preserve">f) </w:t>
      </w:r>
      <w:r w:rsidR="00CC75DB" w:rsidRPr="00F94366">
        <w:rPr>
          <w:rFonts w:cs="Times New Roman"/>
          <w:lang w:val="de-DE"/>
        </w:rPr>
        <w:t>如果被告</w:t>
      </w:r>
      <w:r w:rsidR="00EF5369" w:rsidRPr="00F94366">
        <w:rPr>
          <w:rFonts w:cs="Times New Roman"/>
          <w:lang w:val="de-DE"/>
        </w:rPr>
        <w:t>针对</w:t>
      </w:r>
      <w:r w:rsidR="00CC75DB" w:rsidRPr="00F94366">
        <w:rPr>
          <w:rFonts w:cs="Times New Roman"/>
          <w:lang w:val="de-DE"/>
        </w:rPr>
        <w:t>主张专利无效、主张未使用诉争专利、主张权利用尽以及</w:t>
      </w:r>
      <w:r w:rsidR="00CC75DB" w:rsidRPr="00F94366">
        <w:rPr>
          <w:rFonts w:cs="Times New Roman"/>
          <w:lang w:val="de-DE"/>
        </w:rPr>
        <w:t>/</w:t>
      </w:r>
      <w:r w:rsidR="00CC75DB" w:rsidRPr="00F94366">
        <w:rPr>
          <w:rFonts w:cs="Times New Roman"/>
          <w:lang w:val="de-DE"/>
        </w:rPr>
        <w:t>或者</w:t>
      </w:r>
      <w:r w:rsidR="00CC75DB" w:rsidRPr="00931219">
        <w:rPr>
          <w:rFonts w:ascii="宋体" w:hAnsi="宋体" w:cs="宋体" w:hint="eastAsia"/>
          <w:lang w:val="de-DE"/>
        </w:rPr>
        <w:t>专利已经许可</w:t>
      </w:r>
      <w:r w:rsidR="00EF5369" w:rsidRPr="00931219">
        <w:rPr>
          <w:rFonts w:ascii="宋体" w:hAnsi="宋体" w:cs="宋体" w:hint="eastAsia"/>
          <w:lang w:val="de-DE"/>
        </w:rPr>
        <w:t>，无论是在单独的程序中提起</w:t>
      </w:r>
      <w:proofErr w:type="gramStart"/>
      <w:r w:rsidR="00EF5369" w:rsidRPr="00931219">
        <w:rPr>
          <w:rFonts w:ascii="宋体" w:hAnsi="宋体" w:cs="宋体" w:hint="eastAsia"/>
          <w:lang w:val="de-DE"/>
        </w:rPr>
        <w:t>亦或</w:t>
      </w:r>
      <w:proofErr w:type="gramEnd"/>
      <w:r w:rsidR="00EF5369" w:rsidRPr="00931219">
        <w:rPr>
          <w:rFonts w:ascii="宋体" w:hAnsi="宋体" w:cs="宋体" w:hint="eastAsia"/>
          <w:lang w:val="de-DE"/>
        </w:rPr>
        <w:t>——在</w:t>
      </w:r>
      <w:r w:rsidR="000D053B" w:rsidRPr="00931219">
        <w:rPr>
          <w:rFonts w:ascii="宋体" w:hAnsi="宋体" w:cs="宋体" w:hint="eastAsia"/>
          <w:lang w:val="de-DE"/>
        </w:rPr>
        <w:t>可行</w:t>
      </w:r>
      <w:r w:rsidR="00EF5369" w:rsidRPr="00931219">
        <w:rPr>
          <w:rFonts w:ascii="宋体" w:hAnsi="宋体" w:cs="宋体" w:hint="eastAsia"/>
          <w:lang w:val="de-DE"/>
        </w:rPr>
        <w:t>的情况下——在反诉中提起，关于主张和举证责任的分配遵循一般原理。</w:t>
      </w:r>
    </w:p>
    <w:p w14:paraId="1949CF05" w14:textId="77777777" w:rsidR="00DA13BB" w:rsidRPr="00F94366" w:rsidRDefault="00DA13BB" w:rsidP="00DA13BB">
      <w:pPr>
        <w:pStyle w:val="1"/>
        <w:rPr>
          <w:rFonts w:ascii="Times New Roman" w:hAnsi="Times New Roman" w:cs="Times New Roman"/>
        </w:rPr>
      </w:pPr>
      <w:bookmarkStart w:id="9" w:name="_Toc33138372"/>
      <w:r w:rsidRPr="00F94366">
        <w:rPr>
          <w:rFonts w:ascii="Times New Roman" w:hAnsi="Times New Roman" w:cs="Times New Roman"/>
        </w:rPr>
        <w:t xml:space="preserve">V. </w:t>
      </w:r>
      <w:r w:rsidRPr="00F94366">
        <w:rPr>
          <w:rFonts w:ascii="Times New Roman" w:hAnsi="Times New Roman" w:cs="Times New Roman"/>
        </w:rPr>
        <w:t>在言辞辩论程序内外对保密请求的处理</w:t>
      </w:r>
      <w:bookmarkEnd w:id="9"/>
    </w:p>
    <w:p w14:paraId="43AD06A7" w14:textId="53201436" w:rsidR="000E4DEF" w:rsidRPr="00931219" w:rsidRDefault="00612D23" w:rsidP="000312F4">
      <w:pPr>
        <w:widowControl/>
        <w:snapToGrid w:val="0"/>
        <w:spacing w:afterLines="100" w:after="423" w:line="360" w:lineRule="auto"/>
        <w:rPr>
          <w:rFonts w:ascii="宋体" w:hAnsi="宋体" w:cs="宋体"/>
          <w:lang w:val="de-DE"/>
        </w:rPr>
      </w:pPr>
      <w:r>
        <w:rPr>
          <w:rFonts w:ascii="Georgia" w:hAnsi="Georgia" w:cs="宋体"/>
          <w:color w:val="BFBFBF" w:themeColor="background1" w:themeShade="BF"/>
          <w:lang w:val="de-DE"/>
        </w:rPr>
        <w:t xml:space="preserve">    </w:t>
      </w:r>
      <w:r w:rsidR="003A0C35" w:rsidRPr="00931219">
        <w:rPr>
          <w:rFonts w:ascii="宋体" w:hAnsi="宋体" w:cs="宋体" w:hint="eastAsia"/>
          <w:lang w:val="de-DE"/>
        </w:rPr>
        <w:t>关于本院审理侵犯专利权纠纷时在言辞辩论程序内外对保密申请的处理请参见另外的指南。</w:t>
      </w:r>
    </w:p>
    <w:p w14:paraId="7937AEB9" w14:textId="77777777" w:rsidR="00DA13BB" w:rsidRPr="00F94366" w:rsidRDefault="00DA13BB" w:rsidP="00DA13BB">
      <w:pPr>
        <w:pStyle w:val="1"/>
        <w:rPr>
          <w:rFonts w:ascii="Times New Roman" w:hAnsi="Times New Roman" w:cs="Times New Roman"/>
        </w:rPr>
      </w:pPr>
      <w:bookmarkStart w:id="10" w:name="_Toc33138373"/>
      <w:r w:rsidRPr="00F94366">
        <w:rPr>
          <w:rFonts w:ascii="Times New Roman" w:hAnsi="Times New Roman" w:cs="Times New Roman"/>
        </w:rPr>
        <w:t xml:space="preserve">VI. </w:t>
      </w:r>
      <w:r w:rsidRPr="00F94366">
        <w:rPr>
          <w:rFonts w:ascii="Times New Roman" w:hAnsi="Times New Roman" w:cs="Times New Roman"/>
        </w:rPr>
        <w:t>介于</w:t>
      </w:r>
      <w:r w:rsidR="0080438C" w:rsidRPr="00F94366">
        <w:rPr>
          <w:rFonts w:ascii="Times New Roman" w:hAnsi="Times New Roman" w:cs="Times New Roman"/>
        </w:rPr>
        <w:t>首</w:t>
      </w:r>
      <w:r w:rsidRPr="00F94366">
        <w:rPr>
          <w:rFonts w:ascii="Times New Roman" w:hAnsi="Times New Roman" w:cs="Times New Roman"/>
        </w:rPr>
        <w:t>次庭前会议与开庭审理之间的时段</w:t>
      </w:r>
      <w:bookmarkEnd w:id="10"/>
    </w:p>
    <w:p w14:paraId="290571C8" w14:textId="42906200" w:rsidR="008B764E" w:rsidRPr="00931219" w:rsidRDefault="00612D23" w:rsidP="00F94366">
      <w:pPr>
        <w:spacing w:afterLines="100" w:after="423"/>
        <w:rPr>
          <w:rFonts w:ascii="宋体" w:hAnsi="宋体" w:cs="宋体"/>
          <w:lang w:val="de-DE"/>
        </w:rPr>
      </w:pPr>
      <w:r>
        <w:rPr>
          <w:rFonts w:ascii="Georgia" w:hAnsi="Georgia" w:cs="宋体"/>
          <w:color w:val="BFBFBF" w:themeColor="background1" w:themeShade="BF"/>
          <w:lang w:val="de-DE"/>
        </w:rPr>
        <w:t xml:space="preserve">    </w:t>
      </w:r>
      <w:r w:rsidR="008B764E" w:rsidRPr="00931219">
        <w:rPr>
          <w:rFonts w:ascii="宋体" w:hAnsi="宋体" w:cs="宋体" w:hint="eastAsia"/>
          <w:lang w:val="de-DE"/>
        </w:rPr>
        <w:t>诉讼双方应该充分利用首次庭前会议与开庭审理之间的时段，进行补充协商或者通过法院调解程序或者其他争议解决机制来寻求调解。</w:t>
      </w:r>
    </w:p>
    <w:p w14:paraId="09E76FE6" w14:textId="77777777" w:rsidR="00DA13BB" w:rsidRPr="00F94366" w:rsidRDefault="00DA13BB" w:rsidP="00DA13BB">
      <w:pPr>
        <w:pStyle w:val="1"/>
        <w:rPr>
          <w:rFonts w:ascii="Times New Roman" w:hAnsi="Times New Roman" w:cs="Times New Roman"/>
        </w:rPr>
      </w:pPr>
      <w:bookmarkStart w:id="11" w:name="_Toc33138374"/>
      <w:r w:rsidRPr="00F94366">
        <w:rPr>
          <w:rFonts w:ascii="Times New Roman" w:hAnsi="Times New Roman" w:cs="Times New Roman"/>
        </w:rPr>
        <w:t xml:space="preserve">VII. </w:t>
      </w:r>
      <w:r w:rsidRPr="00F94366">
        <w:rPr>
          <w:rFonts w:ascii="Times New Roman" w:hAnsi="Times New Roman" w:cs="Times New Roman"/>
        </w:rPr>
        <w:t>合同条款</w:t>
      </w:r>
      <w:bookmarkEnd w:id="11"/>
    </w:p>
    <w:p w14:paraId="726F313A" w14:textId="61FBD046" w:rsidR="008C54E5" w:rsidRPr="00931219" w:rsidRDefault="00DB73B9" w:rsidP="00241084">
      <w:pPr>
        <w:widowControl/>
        <w:snapToGrid w:val="0"/>
        <w:spacing w:afterLines="100" w:after="423" w:line="360" w:lineRule="auto"/>
        <w:rPr>
          <w:rFonts w:ascii="宋体" w:hAnsi="宋体" w:cs="宋体"/>
          <w:lang w:val="de-DE"/>
        </w:rPr>
      </w:pPr>
      <w:bookmarkStart w:id="12" w:name="OLE_LINK31"/>
      <w:bookmarkStart w:id="13" w:name="OLE_LINK32"/>
      <w:r>
        <w:rPr>
          <w:rFonts w:ascii="Georgia" w:hAnsi="Georgia" w:cs="宋体"/>
          <w:lang w:val="de-DE"/>
        </w:rPr>
        <w:t xml:space="preserve">    </w:t>
      </w:r>
      <w:bookmarkEnd w:id="12"/>
      <w:bookmarkEnd w:id="13"/>
      <w:r w:rsidR="008B764E" w:rsidRPr="00931219">
        <w:rPr>
          <w:rFonts w:ascii="宋体" w:hAnsi="宋体" w:cs="宋体" w:hint="eastAsia"/>
          <w:lang w:val="de-DE"/>
        </w:rPr>
        <w:t>基于对合同自由和私法自治的尊重，本院下辖两个法庭</w:t>
      </w:r>
      <w:r w:rsidR="000A30A2" w:rsidRPr="00931219">
        <w:rPr>
          <w:rFonts w:ascii="宋体" w:hAnsi="宋体" w:cs="宋体" w:hint="eastAsia"/>
          <w:lang w:val="de-DE"/>
        </w:rPr>
        <w:t>要避免</w:t>
      </w:r>
      <w:r w:rsidR="008C54E5" w:rsidRPr="00931219">
        <w:rPr>
          <w:rFonts w:ascii="宋体" w:hAnsi="宋体" w:cs="宋体" w:hint="eastAsia"/>
          <w:lang w:val="de-DE"/>
        </w:rPr>
        <w:t>直接规定相关合同</w:t>
      </w:r>
      <w:r w:rsidR="00241084" w:rsidRPr="00931219">
        <w:rPr>
          <w:rFonts w:ascii="宋体" w:hAnsi="宋体" w:cs="宋体" w:hint="eastAsia"/>
          <w:lang w:val="de-DE"/>
        </w:rPr>
        <w:t>条款</w:t>
      </w:r>
      <w:r w:rsidR="008C54E5" w:rsidRPr="00931219">
        <w:rPr>
          <w:rFonts w:ascii="宋体" w:hAnsi="宋体" w:cs="宋体" w:hint="eastAsia"/>
          <w:lang w:val="de-DE"/>
        </w:rPr>
        <w:t>的具体内容。但是，合同</w:t>
      </w:r>
      <w:r w:rsidR="00241084" w:rsidRPr="00931219">
        <w:rPr>
          <w:rFonts w:ascii="宋体" w:hAnsi="宋体" w:cs="宋体" w:hint="eastAsia"/>
          <w:lang w:val="de-DE"/>
        </w:rPr>
        <w:t>条款</w:t>
      </w:r>
      <w:r w:rsidR="008C54E5" w:rsidRPr="00931219">
        <w:rPr>
          <w:rFonts w:ascii="宋体" w:hAnsi="宋体" w:cs="宋体" w:hint="eastAsia"/>
          <w:lang w:val="de-DE"/>
        </w:rPr>
        <w:t>的行文措辞必须切合个案实际要求，对双方利益进行合理平衡。在可能的情况下，可以参考第三方的模板</w:t>
      </w:r>
      <w:r w:rsidR="00241084" w:rsidRPr="00931219">
        <w:rPr>
          <w:rFonts w:ascii="宋体" w:hAnsi="宋体" w:cs="宋体" w:hint="eastAsia"/>
          <w:lang w:val="de-DE"/>
        </w:rPr>
        <w:t>进行</w:t>
      </w:r>
      <w:r w:rsidR="008C54E5" w:rsidRPr="00931219">
        <w:rPr>
          <w:rFonts w:ascii="宋体" w:hAnsi="宋体" w:cs="宋体" w:hint="eastAsia"/>
          <w:lang w:val="de-DE"/>
        </w:rPr>
        <w:t>起草。</w:t>
      </w:r>
    </w:p>
    <w:sectPr w:rsidR="008C54E5" w:rsidRPr="00931219" w:rsidSect="00F824FB">
      <w:pgSz w:w="11900" w:h="16840"/>
      <w:pgMar w:top="1440" w:right="1800" w:bottom="1440" w:left="1800" w:header="851" w:footer="992" w:gutter="0"/>
      <w:cols w:space="425"/>
      <w:docGrid w:type="lines" w:linePitch="4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CAD03" w16cid:durableId="21F96E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8879" w14:textId="77777777" w:rsidR="005E5902" w:rsidRDefault="005E5902" w:rsidP="00786877">
      <w:r>
        <w:separator/>
      </w:r>
    </w:p>
  </w:endnote>
  <w:endnote w:type="continuationSeparator" w:id="0">
    <w:p w14:paraId="32D1FDBD" w14:textId="77777777" w:rsidR="005E5902" w:rsidRDefault="005E5902" w:rsidP="007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iti SC Medium">
    <w:altName w:val="Malgun Gothic Semilight"/>
    <w:charset w:val="80"/>
    <w:family w:val="auto"/>
    <w:pitch w:val="variable"/>
    <w:sig w:usb0="8000002F" w:usb1="090F004A" w:usb2="00000010" w:usb3="00000000" w:csb0="003E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E8D0" w14:textId="77777777" w:rsidR="005E5902" w:rsidRDefault="005E5902" w:rsidP="00786877">
      <w:r>
        <w:separator/>
      </w:r>
    </w:p>
  </w:footnote>
  <w:footnote w:type="continuationSeparator" w:id="0">
    <w:p w14:paraId="53F5447E" w14:textId="77777777" w:rsidR="005E5902" w:rsidRDefault="005E5902" w:rsidP="00786877">
      <w:r>
        <w:continuationSeparator/>
      </w:r>
    </w:p>
  </w:footnote>
  <w:footnote w:id="1">
    <w:p w14:paraId="0552C8F1" w14:textId="77777777" w:rsidR="008C54E5" w:rsidRPr="00135D7F" w:rsidRDefault="008C54E5">
      <w:pPr>
        <w:pStyle w:val="a6"/>
        <w:rPr>
          <w:lang w:val="de-DE"/>
        </w:rPr>
      </w:pPr>
      <w:r w:rsidRPr="00CA2C9A">
        <w:rPr>
          <w:rStyle w:val="a8"/>
          <w:rFonts w:cs="Times New Roman"/>
        </w:rPr>
        <w:footnoteRef/>
      </w:r>
      <w:r w:rsidRPr="00CA2C9A">
        <w:rPr>
          <w:rFonts w:cs="Times New Roman"/>
        </w:rPr>
        <w:t xml:space="preserve"> </w:t>
      </w:r>
      <w:r w:rsidRPr="00F94366">
        <w:rPr>
          <w:rFonts w:cs="Times New Roman"/>
        </w:rPr>
        <w:t>德</w:t>
      </w:r>
      <w:r>
        <w:rPr>
          <w:rFonts w:hint="eastAsia"/>
        </w:rPr>
        <w:t>语版请见：</w:t>
      </w:r>
      <w:hyperlink r:id="rId1" w:history="1">
        <w:r w:rsidRPr="00B35CA5">
          <w:rPr>
            <w:rStyle w:val="a9"/>
          </w:rPr>
          <w:t>https://www.justiz.bayern.de/media/images/behoerden-und-gerichte/landgerichte/muenchen1/hinweise_geheimhaltung__stand_februar_2020_.pdf</w:t>
        </w:r>
      </w:hyperlink>
      <w:r>
        <w:rPr>
          <w:rFonts w:hint="eastAsia"/>
        </w:rPr>
        <w:t>；英语版请见：</w:t>
      </w:r>
      <w:hyperlink r:id="rId2" w:history="1">
        <w:r w:rsidRPr="00B35CA5">
          <w:rPr>
            <w:rStyle w:val="a9"/>
          </w:rPr>
          <w:t>https://www.justiz.bayern.de/media/images/behoerden-und-gerichte/landgerichte/muenchen1/guidelines_on_confidentiality_protection__stand_febr_2020_.pdf</w:t>
        </w:r>
      </w:hyperlink>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F4"/>
    <w:rsid w:val="000000F7"/>
    <w:rsid w:val="00000F19"/>
    <w:rsid w:val="00001A64"/>
    <w:rsid w:val="0000424C"/>
    <w:rsid w:val="00004779"/>
    <w:rsid w:val="000058EB"/>
    <w:rsid w:val="00005ECC"/>
    <w:rsid w:val="00007247"/>
    <w:rsid w:val="00010F40"/>
    <w:rsid w:val="0001206D"/>
    <w:rsid w:val="00012F87"/>
    <w:rsid w:val="000150A0"/>
    <w:rsid w:val="0001550E"/>
    <w:rsid w:val="0001580E"/>
    <w:rsid w:val="000245FE"/>
    <w:rsid w:val="0002779C"/>
    <w:rsid w:val="00030D6A"/>
    <w:rsid w:val="000312F4"/>
    <w:rsid w:val="0003276D"/>
    <w:rsid w:val="0003487D"/>
    <w:rsid w:val="0003630B"/>
    <w:rsid w:val="00043DC8"/>
    <w:rsid w:val="000506AA"/>
    <w:rsid w:val="00052AF8"/>
    <w:rsid w:val="00054383"/>
    <w:rsid w:val="0005612E"/>
    <w:rsid w:val="00056AC0"/>
    <w:rsid w:val="00057616"/>
    <w:rsid w:val="000579DA"/>
    <w:rsid w:val="00057B16"/>
    <w:rsid w:val="00060E9F"/>
    <w:rsid w:val="00065C21"/>
    <w:rsid w:val="00066495"/>
    <w:rsid w:val="000867E8"/>
    <w:rsid w:val="00086F05"/>
    <w:rsid w:val="00087607"/>
    <w:rsid w:val="00095E9F"/>
    <w:rsid w:val="000A30A2"/>
    <w:rsid w:val="000A5473"/>
    <w:rsid w:val="000A5FD3"/>
    <w:rsid w:val="000B48CC"/>
    <w:rsid w:val="000B4C13"/>
    <w:rsid w:val="000B4C9F"/>
    <w:rsid w:val="000C0160"/>
    <w:rsid w:val="000C1139"/>
    <w:rsid w:val="000C3940"/>
    <w:rsid w:val="000C63F7"/>
    <w:rsid w:val="000C6F33"/>
    <w:rsid w:val="000D053B"/>
    <w:rsid w:val="000D424B"/>
    <w:rsid w:val="000D5412"/>
    <w:rsid w:val="000D5A03"/>
    <w:rsid w:val="000E37FA"/>
    <w:rsid w:val="000E3EC2"/>
    <w:rsid w:val="000E407D"/>
    <w:rsid w:val="000E468A"/>
    <w:rsid w:val="000E4DEF"/>
    <w:rsid w:val="000E79FB"/>
    <w:rsid w:val="000F18A4"/>
    <w:rsid w:val="000F1DFE"/>
    <w:rsid w:val="000F5C7D"/>
    <w:rsid w:val="00112DE3"/>
    <w:rsid w:val="00117229"/>
    <w:rsid w:val="00121017"/>
    <w:rsid w:val="00124311"/>
    <w:rsid w:val="001344C4"/>
    <w:rsid w:val="00135543"/>
    <w:rsid w:val="00135D7F"/>
    <w:rsid w:val="001370EA"/>
    <w:rsid w:val="00140B09"/>
    <w:rsid w:val="0014325B"/>
    <w:rsid w:val="001439CF"/>
    <w:rsid w:val="001474C0"/>
    <w:rsid w:val="00151714"/>
    <w:rsid w:val="00151827"/>
    <w:rsid w:val="0016084D"/>
    <w:rsid w:val="00164A38"/>
    <w:rsid w:val="00172C84"/>
    <w:rsid w:val="001764D0"/>
    <w:rsid w:val="00176940"/>
    <w:rsid w:val="0017724B"/>
    <w:rsid w:val="0018004F"/>
    <w:rsid w:val="001810D4"/>
    <w:rsid w:val="00181BB5"/>
    <w:rsid w:val="00194DD3"/>
    <w:rsid w:val="00197ED3"/>
    <w:rsid w:val="001A7131"/>
    <w:rsid w:val="001B7AEB"/>
    <w:rsid w:val="001C0BE1"/>
    <w:rsid w:val="001C2D36"/>
    <w:rsid w:val="001C40E8"/>
    <w:rsid w:val="001C7C86"/>
    <w:rsid w:val="001D12C7"/>
    <w:rsid w:val="001D1C85"/>
    <w:rsid w:val="001D249B"/>
    <w:rsid w:val="001D28B4"/>
    <w:rsid w:val="001E0A99"/>
    <w:rsid w:val="001E25FE"/>
    <w:rsid w:val="00200AE1"/>
    <w:rsid w:val="002026AC"/>
    <w:rsid w:val="0020299B"/>
    <w:rsid w:val="002041ED"/>
    <w:rsid w:val="002043A8"/>
    <w:rsid w:val="00210022"/>
    <w:rsid w:val="00214678"/>
    <w:rsid w:val="00221523"/>
    <w:rsid w:val="002219E1"/>
    <w:rsid w:val="00221A5C"/>
    <w:rsid w:val="00230A78"/>
    <w:rsid w:val="002311B7"/>
    <w:rsid w:val="00241084"/>
    <w:rsid w:val="0024231E"/>
    <w:rsid w:val="00242526"/>
    <w:rsid w:val="00243800"/>
    <w:rsid w:val="00246497"/>
    <w:rsid w:val="002529C2"/>
    <w:rsid w:val="002569A0"/>
    <w:rsid w:val="00260915"/>
    <w:rsid w:val="00260AD8"/>
    <w:rsid w:val="00264914"/>
    <w:rsid w:val="00266E14"/>
    <w:rsid w:val="00274DC1"/>
    <w:rsid w:val="00276119"/>
    <w:rsid w:val="00277A89"/>
    <w:rsid w:val="002804E7"/>
    <w:rsid w:val="002907B5"/>
    <w:rsid w:val="00293E39"/>
    <w:rsid w:val="002953C6"/>
    <w:rsid w:val="002A61FB"/>
    <w:rsid w:val="002A7439"/>
    <w:rsid w:val="002B39D7"/>
    <w:rsid w:val="002C1B18"/>
    <w:rsid w:val="002C302B"/>
    <w:rsid w:val="002C37FF"/>
    <w:rsid w:val="002C3EC2"/>
    <w:rsid w:val="002C4E4B"/>
    <w:rsid w:val="002C5A5D"/>
    <w:rsid w:val="002D0463"/>
    <w:rsid w:val="002D111B"/>
    <w:rsid w:val="002D36CD"/>
    <w:rsid w:val="002E03EC"/>
    <w:rsid w:val="002E3905"/>
    <w:rsid w:val="002E4707"/>
    <w:rsid w:val="002E4E67"/>
    <w:rsid w:val="002F08B5"/>
    <w:rsid w:val="003016C5"/>
    <w:rsid w:val="00302A32"/>
    <w:rsid w:val="0030528B"/>
    <w:rsid w:val="00306B9E"/>
    <w:rsid w:val="00316096"/>
    <w:rsid w:val="00317945"/>
    <w:rsid w:val="00321DA7"/>
    <w:rsid w:val="00322321"/>
    <w:rsid w:val="00324EA0"/>
    <w:rsid w:val="00332235"/>
    <w:rsid w:val="00335CCD"/>
    <w:rsid w:val="003362DF"/>
    <w:rsid w:val="00337A6A"/>
    <w:rsid w:val="00337ADF"/>
    <w:rsid w:val="00341D51"/>
    <w:rsid w:val="00341FE9"/>
    <w:rsid w:val="00342BA6"/>
    <w:rsid w:val="00355051"/>
    <w:rsid w:val="00362727"/>
    <w:rsid w:val="00362B53"/>
    <w:rsid w:val="00363960"/>
    <w:rsid w:val="00364BF1"/>
    <w:rsid w:val="00371DAA"/>
    <w:rsid w:val="00372489"/>
    <w:rsid w:val="00375D22"/>
    <w:rsid w:val="0037725E"/>
    <w:rsid w:val="0038029D"/>
    <w:rsid w:val="00380D81"/>
    <w:rsid w:val="00381781"/>
    <w:rsid w:val="00382CF9"/>
    <w:rsid w:val="003939A8"/>
    <w:rsid w:val="00394311"/>
    <w:rsid w:val="00396DBE"/>
    <w:rsid w:val="003A0C35"/>
    <w:rsid w:val="003A27D2"/>
    <w:rsid w:val="003A48B6"/>
    <w:rsid w:val="003A4EC7"/>
    <w:rsid w:val="003B0074"/>
    <w:rsid w:val="003B04C0"/>
    <w:rsid w:val="003B1408"/>
    <w:rsid w:val="003B31D1"/>
    <w:rsid w:val="003B4CD6"/>
    <w:rsid w:val="003B5ABC"/>
    <w:rsid w:val="003C0755"/>
    <w:rsid w:val="003C15E0"/>
    <w:rsid w:val="003C2CAD"/>
    <w:rsid w:val="003C52BC"/>
    <w:rsid w:val="003E0740"/>
    <w:rsid w:val="003E445C"/>
    <w:rsid w:val="003E6198"/>
    <w:rsid w:val="003E77A1"/>
    <w:rsid w:val="003F0673"/>
    <w:rsid w:val="003F1721"/>
    <w:rsid w:val="003F1C67"/>
    <w:rsid w:val="003F20EE"/>
    <w:rsid w:val="003F2D55"/>
    <w:rsid w:val="003F32E4"/>
    <w:rsid w:val="003F4274"/>
    <w:rsid w:val="003F58B5"/>
    <w:rsid w:val="003F58F8"/>
    <w:rsid w:val="0040262F"/>
    <w:rsid w:val="00414675"/>
    <w:rsid w:val="00414F94"/>
    <w:rsid w:val="004153DC"/>
    <w:rsid w:val="00415E18"/>
    <w:rsid w:val="00416452"/>
    <w:rsid w:val="004164C5"/>
    <w:rsid w:val="00417E11"/>
    <w:rsid w:val="00423C92"/>
    <w:rsid w:val="00425CF8"/>
    <w:rsid w:val="00427E6B"/>
    <w:rsid w:val="004325AA"/>
    <w:rsid w:val="004327D9"/>
    <w:rsid w:val="0043340B"/>
    <w:rsid w:val="004544EA"/>
    <w:rsid w:val="00454F81"/>
    <w:rsid w:val="00455778"/>
    <w:rsid w:val="00457307"/>
    <w:rsid w:val="00464CFF"/>
    <w:rsid w:val="00470A8F"/>
    <w:rsid w:val="00474BFA"/>
    <w:rsid w:val="00487E85"/>
    <w:rsid w:val="0049029E"/>
    <w:rsid w:val="00490B1C"/>
    <w:rsid w:val="00493ECF"/>
    <w:rsid w:val="00494737"/>
    <w:rsid w:val="004B0A96"/>
    <w:rsid w:val="004B61DC"/>
    <w:rsid w:val="004B706C"/>
    <w:rsid w:val="004C4A79"/>
    <w:rsid w:val="004C6E31"/>
    <w:rsid w:val="004E6F0E"/>
    <w:rsid w:val="004F3D55"/>
    <w:rsid w:val="004F52CD"/>
    <w:rsid w:val="004F6760"/>
    <w:rsid w:val="004F7980"/>
    <w:rsid w:val="00500518"/>
    <w:rsid w:val="00504599"/>
    <w:rsid w:val="005053A5"/>
    <w:rsid w:val="00507497"/>
    <w:rsid w:val="00512D00"/>
    <w:rsid w:val="00520014"/>
    <w:rsid w:val="00522BE1"/>
    <w:rsid w:val="005254EC"/>
    <w:rsid w:val="00525726"/>
    <w:rsid w:val="00527782"/>
    <w:rsid w:val="0053480E"/>
    <w:rsid w:val="00536AAB"/>
    <w:rsid w:val="00540B38"/>
    <w:rsid w:val="00545B44"/>
    <w:rsid w:val="00556430"/>
    <w:rsid w:val="0056176A"/>
    <w:rsid w:val="00563B46"/>
    <w:rsid w:val="00564E08"/>
    <w:rsid w:val="00565278"/>
    <w:rsid w:val="00565F6B"/>
    <w:rsid w:val="00567249"/>
    <w:rsid w:val="00575172"/>
    <w:rsid w:val="00582CB5"/>
    <w:rsid w:val="0058430A"/>
    <w:rsid w:val="005844AD"/>
    <w:rsid w:val="00587C0C"/>
    <w:rsid w:val="00591604"/>
    <w:rsid w:val="0059283E"/>
    <w:rsid w:val="005931A8"/>
    <w:rsid w:val="0059344E"/>
    <w:rsid w:val="00595366"/>
    <w:rsid w:val="005A2BF8"/>
    <w:rsid w:val="005B4261"/>
    <w:rsid w:val="005B4D75"/>
    <w:rsid w:val="005B7270"/>
    <w:rsid w:val="005B7678"/>
    <w:rsid w:val="005C03AC"/>
    <w:rsid w:val="005C6215"/>
    <w:rsid w:val="005D4272"/>
    <w:rsid w:val="005D4D15"/>
    <w:rsid w:val="005E5902"/>
    <w:rsid w:val="005F3028"/>
    <w:rsid w:val="005F3072"/>
    <w:rsid w:val="005F3780"/>
    <w:rsid w:val="005F4781"/>
    <w:rsid w:val="005F517F"/>
    <w:rsid w:val="005F62AB"/>
    <w:rsid w:val="006009D4"/>
    <w:rsid w:val="00601C69"/>
    <w:rsid w:val="00603107"/>
    <w:rsid w:val="006032BF"/>
    <w:rsid w:val="006044D3"/>
    <w:rsid w:val="0060479B"/>
    <w:rsid w:val="006111C3"/>
    <w:rsid w:val="00612D23"/>
    <w:rsid w:val="0061570E"/>
    <w:rsid w:val="00624666"/>
    <w:rsid w:val="0063323B"/>
    <w:rsid w:val="00636418"/>
    <w:rsid w:val="00636475"/>
    <w:rsid w:val="00637257"/>
    <w:rsid w:val="00641EEB"/>
    <w:rsid w:val="00642F1B"/>
    <w:rsid w:val="00645CF3"/>
    <w:rsid w:val="006514A9"/>
    <w:rsid w:val="0065235A"/>
    <w:rsid w:val="00655981"/>
    <w:rsid w:val="00656350"/>
    <w:rsid w:val="00665420"/>
    <w:rsid w:val="00673C2C"/>
    <w:rsid w:val="00674DA6"/>
    <w:rsid w:val="00681CE0"/>
    <w:rsid w:val="0068286E"/>
    <w:rsid w:val="0068290D"/>
    <w:rsid w:val="00682F22"/>
    <w:rsid w:val="006950BF"/>
    <w:rsid w:val="00696343"/>
    <w:rsid w:val="006B13F8"/>
    <w:rsid w:val="006B3D27"/>
    <w:rsid w:val="006B7EA8"/>
    <w:rsid w:val="006C03CF"/>
    <w:rsid w:val="006C0700"/>
    <w:rsid w:val="006C6F68"/>
    <w:rsid w:val="006D1D00"/>
    <w:rsid w:val="006D1E17"/>
    <w:rsid w:val="006D293A"/>
    <w:rsid w:val="006D3F01"/>
    <w:rsid w:val="006D6215"/>
    <w:rsid w:val="006D64B5"/>
    <w:rsid w:val="006E002A"/>
    <w:rsid w:val="006E26CE"/>
    <w:rsid w:val="006E2FBD"/>
    <w:rsid w:val="006E6011"/>
    <w:rsid w:val="006F0016"/>
    <w:rsid w:val="006F50D9"/>
    <w:rsid w:val="00707A9C"/>
    <w:rsid w:val="00711517"/>
    <w:rsid w:val="007119FF"/>
    <w:rsid w:val="00712DD7"/>
    <w:rsid w:val="007152BC"/>
    <w:rsid w:val="00715DA2"/>
    <w:rsid w:val="00716061"/>
    <w:rsid w:val="007162F6"/>
    <w:rsid w:val="00721CD3"/>
    <w:rsid w:val="007226DD"/>
    <w:rsid w:val="00724AF9"/>
    <w:rsid w:val="007347BD"/>
    <w:rsid w:val="00736B52"/>
    <w:rsid w:val="007379DC"/>
    <w:rsid w:val="0074600C"/>
    <w:rsid w:val="00755539"/>
    <w:rsid w:val="007572BC"/>
    <w:rsid w:val="007652B1"/>
    <w:rsid w:val="00766DA1"/>
    <w:rsid w:val="007708A7"/>
    <w:rsid w:val="00775BE5"/>
    <w:rsid w:val="00783221"/>
    <w:rsid w:val="00783460"/>
    <w:rsid w:val="00786877"/>
    <w:rsid w:val="00791EC0"/>
    <w:rsid w:val="0079310B"/>
    <w:rsid w:val="00796D63"/>
    <w:rsid w:val="007971D1"/>
    <w:rsid w:val="007A17E2"/>
    <w:rsid w:val="007A5870"/>
    <w:rsid w:val="007A5FE6"/>
    <w:rsid w:val="007A61F8"/>
    <w:rsid w:val="007A672C"/>
    <w:rsid w:val="007B2782"/>
    <w:rsid w:val="007B2DF9"/>
    <w:rsid w:val="007B3CE8"/>
    <w:rsid w:val="007B56D2"/>
    <w:rsid w:val="007B6C14"/>
    <w:rsid w:val="007C00F4"/>
    <w:rsid w:val="007C14ED"/>
    <w:rsid w:val="007C17AF"/>
    <w:rsid w:val="007D2987"/>
    <w:rsid w:val="007D2D5A"/>
    <w:rsid w:val="007E1D97"/>
    <w:rsid w:val="007E3FEF"/>
    <w:rsid w:val="007F0F68"/>
    <w:rsid w:val="007F2389"/>
    <w:rsid w:val="00801892"/>
    <w:rsid w:val="008018E8"/>
    <w:rsid w:val="00803911"/>
    <w:rsid w:val="0080438C"/>
    <w:rsid w:val="00805514"/>
    <w:rsid w:val="00810AB7"/>
    <w:rsid w:val="00814C00"/>
    <w:rsid w:val="00815677"/>
    <w:rsid w:val="008168EB"/>
    <w:rsid w:val="00821C84"/>
    <w:rsid w:val="00823519"/>
    <w:rsid w:val="00830363"/>
    <w:rsid w:val="00834FB3"/>
    <w:rsid w:val="0083509F"/>
    <w:rsid w:val="008357CC"/>
    <w:rsid w:val="008376C5"/>
    <w:rsid w:val="008430A5"/>
    <w:rsid w:val="00844CF1"/>
    <w:rsid w:val="00847500"/>
    <w:rsid w:val="008522CF"/>
    <w:rsid w:val="00855194"/>
    <w:rsid w:val="00862D13"/>
    <w:rsid w:val="008647E4"/>
    <w:rsid w:val="00870790"/>
    <w:rsid w:val="00875020"/>
    <w:rsid w:val="008811A6"/>
    <w:rsid w:val="00887D14"/>
    <w:rsid w:val="00893740"/>
    <w:rsid w:val="0089671B"/>
    <w:rsid w:val="008A00B8"/>
    <w:rsid w:val="008A289F"/>
    <w:rsid w:val="008A2B6B"/>
    <w:rsid w:val="008A479C"/>
    <w:rsid w:val="008A4829"/>
    <w:rsid w:val="008A5DFD"/>
    <w:rsid w:val="008B159D"/>
    <w:rsid w:val="008B619B"/>
    <w:rsid w:val="008B764E"/>
    <w:rsid w:val="008C5097"/>
    <w:rsid w:val="008C54E5"/>
    <w:rsid w:val="008C7801"/>
    <w:rsid w:val="008D3348"/>
    <w:rsid w:val="008D3DE1"/>
    <w:rsid w:val="008E0912"/>
    <w:rsid w:val="008E69B4"/>
    <w:rsid w:val="008F2602"/>
    <w:rsid w:val="0090326A"/>
    <w:rsid w:val="0090345E"/>
    <w:rsid w:val="009133EA"/>
    <w:rsid w:val="00914E08"/>
    <w:rsid w:val="00921E68"/>
    <w:rsid w:val="00923302"/>
    <w:rsid w:val="0092453A"/>
    <w:rsid w:val="00930419"/>
    <w:rsid w:val="00931219"/>
    <w:rsid w:val="00937729"/>
    <w:rsid w:val="00942D5E"/>
    <w:rsid w:val="00944EFB"/>
    <w:rsid w:val="00951AB8"/>
    <w:rsid w:val="0095534C"/>
    <w:rsid w:val="00966736"/>
    <w:rsid w:val="009726BF"/>
    <w:rsid w:val="00973C02"/>
    <w:rsid w:val="00981AB3"/>
    <w:rsid w:val="00984B35"/>
    <w:rsid w:val="00986393"/>
    <w:rsid w:val="00991B3B"/>
    <w:rsid w:val="009979BE"/>
    <w:rsid w:val="009A0267"/>
    <w:rsid w:val="009A11DE"/>
    <w:rsid w:val="009A2C90"/>
    <w:rsid w:val="009A7379"/>
    <w:rsid w:val="009A74A7"/>
    <w:rsid w:val="009B31DC"/>
    <w:rsid w:val="009B699F"/>
    <w:rsid w:val="009B7C3C"/>
    <w:rsid w:val="009C5973"/>
    <w:rsid w:val="009D2BCA"/>
    <w:rsid w:val="009D3B8C"/>
    <w:rsid w:val="009D6CE0"/>
    <w:rsid w:val="009E4836"/>
    <w:rsid w:val="009E559B"/>
    <w:rsid w:val="009F163A"/>
    <w:rsid w:val="009F26E2"/>
    <w:rsid w:val="009F6904"/>
    <w:rsid w:val="009F7D0E"/>
    <w:rsid w:val="00A00073"/>
    <w:rsid w:val="00A0477E"/>
    <w:rsid w:val="00A04B4B"/>
    <w:rsid w:val="00A05FCA"/>
    <w:rsid w:val="00A11009"/>
    <w:rsid w:val="00A222F8"/>
    <w:rsid w:val="00A23BE1"/>
    <w:rsid w:val="00A24B53"/>
    <w:rsid w:val="00A32E6F"/>
    <w:rsid w:val="00A34343"/>
    <w:rsid w:val="00A37D5D"/>
    <w:rsid w:val="00A41B21"/>
    <w:rsid w:val="00A43F90"/>
    <w:rsid w:val="00A44A38"/>
    <w:rsid w:val="00A512B0"/>
    <w:rsid w:val="00A51B92"/>
    <w:rsid w:val="00A53565"/>
    <w:rsid w:val="00A558A4"/>
    <w:rsid w:val="00A56774"/>
    <w:rsid w:val="00A570E4"/>
    <w:rsid w:val="00A619B9"/>
    <w:rsid w:val="00A637BE"/>
    <w:rsid w:val="00A6482B"/>
    <w:rsid w:val="00A651A8"/>
    <w:rsid w:val="00A66BF9"/>
    <w:rsid w:val="00A67B93"/>
    <w:rsid w:val="00A707B4"/>
    <w:rsid w:val="00A74345"/>
    <w:rsid w:val="00A7737B"/>
    <w:rsid w:val="00A838F1"/>
    <w:rsid w:val="00A83F71"/>
    <w:rsid w:val="00A84D56"/>
    <w:rsid w:val="00A855EC"/>
    <w:rsid w:val="00A87A2F"/>
    <w:rsid w:val="00A96703"/>
    <w:rsid w:val="00AB4044"/>
    <w:rsid w:val="00AB422E"/>
    <w:rsid w:val="00AB47FE"/>
    <w:rsid w:val="00AC4B06"/>
    <w:rsid w:val="00AC574E"/>
    <w:rsid w:val="00AD0520"/>
    <w:rsid w:val="00AD05B8"/>
    <w:rsid w:val="00AD1183"/>
    <w:rsid w:val="00AD473E"/>
    <w:rsid w:val="00AD4CC1"/>
    <w:rsid w:val="00AE4368"/>
    <w:rsid w:val="00AE49EB"/>
    <w:rsid w:val="00AF0B3D"/>
    <w:rsid w:val="00AF6674"/>
    <w:rsid w:val="00B00085"/>
    <w:rsid w:val="00B00515"/>
    <w:rsid w:val="00B0701E"/>
    <w:rsid w:val="00B103DB"/>
    <w:rsid w:val="00B1306F"/>
    <w:rsid w:val="00B174F7"/>
    <w:rsid w:val="00B17A85"/>
    <w:rsid w:val="00B263CC"/>
    <w:rsid w:val="00B274C9"/>
    <w:rsid w:val="00B3108D"/>
    <w:rsid w:val="00B4031A"/>
    <w:rsid w:val="00B4457B"/>
    <w:rsid w:val="00B4629F"/>
    <w:rsid w:val="00B46E5C"/>
    <w:rsid w:val="00B50CC4"/>
    <w:rsid w:val="00B51C25"/>
    <w:rsid w:val="00B5510F"/>
    <w:rsid w:val="00B57556"/>
    <w:rsid w:val="00B579FA"/>
    <w:rsid w:val="00B659CA"/>
    <w:rsid w:val="00B67C64"/>
    <w:rsid w:val="00B74294"/>
    <w:rsid w:val="00B90F30"/>
    <w:rsid w:val="00B93E45"/>
    <w:rsid w:val="00B95060"/>
    <w:rsid w:val="00B96343"/>
    <w:rsid w:val="00B96B8B"/>
    <w:rsid w:val="00BA029B"/>
    <w:rsid w:val="00BA5571"/>
    <w:rsid w:val="00BA5E3C"/>
    <w:rsid w:val="00BA6ECA"/>
    <w:rsid w:val="00BA7C8B"/>
    <w:rsid w:val="00BB1762"/>
    <w:rsid w:val="00BB5E4E"/>
    <w:rsid w:val="00BC66A2"/>
    <w:rsid w:val="00BC6F93"/>
    <w:rsid w:val="00BD12DF"/>
    <w:rsid w:val="00BE307B"/>
    <w:rsid w:val="00BE49F6"/>
    <w:rsid w:val="00BF0B9B"/>
    <w:rsid w:val="00BF57D4"/>
    <w:rsid w:val="00C04B72"/>
    <w:rsid w:val="00C10E1A"/>
    <w:rsid w:val="00C1110D"/>
    <w:rsid w:val="00C1254D"/>
    <w:rsid w:val="00C13A26"/>
    <w:rsid w:val="00C13E48"/>
    <w:rsid w:val="00C16EA0"/>
    <w:rsid w:val="00C21254"/>
    <w:rsid w:val="00C230CF"/>
    <w:rsid w:val="00C230F4"/>
    <w:rsid w:val="00C26E81"/>
    <w:rsid w:val="00C31ADB"/>
    <w:rsid w:val="00C325F7"/>
    <w:rsid w:val="00C32C60"/>
    <w:rsid w:val="00C332B1"/>
    <w:rsid w:val="00C3482F"/>
    <w:rsid w:val="00C40995"/>
    <w:rsid w:val="00C43809"/>
    <w:rsid w:val="00C474E7"/>
    <w:rsid w:val="00C506A4"/>
    <w:rsid w:val="00C52D7E"/>
    <w:rsid w:val="00C56D0C"/>
    <w:rsid w:val="00C67CEE"/>
    <w:rsid w:val="00C71287"/>
    <w:rsid w:val="00C76B87"/>
    <w:rsid w:val="00C81475"/>
    <w:rsid w:val="00C81915"/>
    <w:rsid w:val="00C9080F"/>
    <w:rsid w:val="00C92995"/>
    <w:rsid w:val="00C96977"/>
    <w:rsid w:val="00CA2C9A"/>
    <w:rsid w:val="00CA3F42"/>
    <w:rsid w:val="00CA51EE"/>
    <w:rsid w:val="00CC3F24"/>
    <w:rsid w:val="00CC418B"/>
    <w:rsid w:val="00CC5B29"/>
    <w:rsid w:val="00CC75DB"/>
    <w:rsid w:val="00CD462F"/>
    <w:rsid w:val="00CE0278"/>
    <w:rsid w:val="00CE07B0"/>
    <w:rsid w:val="00CE0AFD"/>
    <w:rsid w:val="00CE54D1"/>
    <w:rsid w:val="00CF2F91"/>
    <w:rsid w:val="00CF5262"/>
    <w:rsid w:val="00D01FAF"/>
    <w:rsid w:val="00D03869"/>
    <w:rsid w:val="00D04F48"/>
    <w:rsid w:val="00D0584E"/>
    <w:rsid w:val="00D104A5"/>
    <w:rsid w:val="00D11956"/>
    <w:rsid w:val="00D13353"/>
    <w:rsid w:val="00D1460B"/>
    <w:rsid w:val="00D1658A"/>
    <w:rsid w:val="00D22074"/>
    <w:rsid w:val="00D265AE"/>
    <w:rsid w:val="00D31A45"/>
    <w:rsid w:val="00D320E4"/>
    <w:rsid w:val="00D3434C"/>
    <w:rsid w:val="00D36719"/>
    <w:rsid w:val="00D372A1"/>
    <w:rsid w:val="00D442B7"/>
    <w:rsid w:val="00D47E90"/>
    <w:rsid w:val="00D50592"/>
    <w:rsid w:val="00D50C53"/>
    <w:rsid w:val="00D544CB"/>
    <w:rsid w:val="00D56C0E"/>
    <w:rsid w:val="00D56E0D"/>
    <w:rsid w:val="00D601DF"/>
    <w:rsid w:val="00D60928"/>
    <w:rsid w:val="00D632AE"/>
    <w:rsid w:val="00D635EF"/>
    <w:rsid w:val="00D6417E"/>
    <w:rsid w:val="00D6463B"/>
    <w:rsid w:val="00D67F2B"/>
    <w:rsid w:val="00D706F1"/>
    <w:rsid w:val="00D70FBD"/>
    <w:rsid w:val="00D72A64"/>
    <w:rsid w:val="00D84D11"/>
    <w:rsid w:val="00D941D9"/>
    <w:rsid w:val="00D941E5"/>
    <w:rsid w:val="00DA13BB"/>
    <w:rsid w:val="00DA35CC"/>
    <w:rsid w:val="00DA38A9"/>
    <w:rsid w:val="00DA74DF"/>
    <w:rsid w:val="00DA7C4B"/>
    <w:rsid w:val="00DB055D"/>
    <w:rsid w:val="00DB6E40"/>
    <w:rsid w:val="00DB73B9"/>
    <w:rsid w:val="00DC3044"/>
    <w:rsid w:val="00DC7A44"/>
    <w:rsid w:val="00DD3D85"/>
    <w:rsid w:val="00DD6097"/>
    <w:rsid w:val="00DE73D8"/>
    <w:rsid w:val="00DE75C7"/>
    <w:rsid w:val="00DF27BA"/>
    <w:rsid w:val="00DF2CC1"/>
    <w:rsid w:val="00DF68F9"/>
    <w:rsid w:val="00DF78BE"/>
    <w:rsid w:val="00E0018E"/>
    <w:rsid w:val="00E02B5C"/>
    <w:rsid w:val="00E03B15"/>
    <w:rsid w:val="00E03E20"/>
    <w:rsid w:val="00E04969"/>
    <w:rsid w:val="00E10BAD"/>
    <w:rsid w:val="00E14CB4"/>
    <w:rsid w:val="00E151E7"/>
    <w:rsid w:val="00E24E00"/>
    <w:rsid w:val="00E2650F"/>
    <w:rsid w:val="00E36A36"/>
    <w:rsid w:val="00E44315"/>
    <w:rsid w:val="00E44B68"/>
    <w:rsid w:val="00E50E42"/>
    <w:rsid w:val="00E51C6D"/>
    <w:rsid w:val="00E53020"/>
    <w:rsid w:val="00E54901"/>
    <w:rsid w:val="00E7285E"/>
    <w:rsid w:val="00E733FD"/>
    <w:rsid w:val="00E73B43"/>
    <w:rsid w:val="00E73C0F"/>
    <w:rsid w:val="00E7571B"/>
    <w:rsid w:val="00E7662E"/>
    <w:rsid w:val="00E77893"/>
    <w:rsid w:val="00E83FD0"/>
    <w:rsid w:val="00E870E4"/>
    <w:rsid w:val="00E92D11"/>
    <w:rsid w:val="00EA1C83"/>
    <w:rsid w:val="00EA1DB2"/>
    <w:rsid w:val="00EA2EC7"/>
    <w:rsid w:val="00EA32DB"/>
    <w:rsid w:val="00EB0737"/>
    <w:rsid w:val="00EB19B2"/>
    <w:rsid w:val="00EB3CFD"/>
    <w:rsid w:val="00EB4FE4"/>
    <w:rsid w:val="00EB500F"/>
    <w:rsid w:val="00EB531F"/>
    <w:rsid w:val="00EB6C09"/>
    <w:rsid w:val="00EC09E9"/>
    <w:rsid w:val="00EC116D"/>
    <w:rsid w:val="00EC166B"/>
    <w:rsid w:val="00EC1EDD"/>
    <w:rsid w:val="00EC7D51"/>
    <w:rsid w:val="00ED12AA"/>
    <w:rsid w:val="00ED4091"/>
    <w:rsid w:val="00EE0145"/>
    <w:rsid w:val="00EE1583"/>
    <w:rsid w:val="00EE1CF7"/>
    <w:rsid w:val="00EE420B"/>
    <w:rsid w:val="00EF465D"/>
    <w:rsid w:val="00EF5369"/>
    <w:rsid w:val="00EF72C7"/>
    <w:rsid w:val="00F0237A"/>
    <w:rsid w:val="00F02ADF"/>
    <w:rsid w:val="00F03C8C"/>
    <w:rsid w:val="00F10BD3"/>
    <w:rsid w:val="00F1431D"/>
    <w:rsid w:val="00F14A74"/>
    <w:rsid w:val="00F24C1F"/>
    <w:rsid w:val="00F25CA6"/>
    <w:rsid w:val="00F31C18"/>
    <w:rsid w:val="00F3238D"/>
    <w:rsid w:val="00F3355C"/>
    <w:rsid w:val="00F34683"/>
    <w:rsid w:val="00F3599A"/>
    <w:rsid w:val="00F4037A"/>
    <w:rsid w:val="00F42454"/>
    <w:rsid w:val="00F43CCF"/>
    <w:rsid w:val="00F45D87"/>
    <w:rsid w:val="00F5224F"/>
    <w:rsid w:val="00F548E5"/>
    <w:rsid w:val="00F55CA9"/>
    <w:rsid w:val="00F57BAA"/>
    <w:rsid w:val="00F66F15"/>
    <w:rsid w:val="00F74ED3"/>
    <w:rsid w:val="00F75B68"/>
    <w:rsid w:val="00F80784"/>
    <w:rsid w:val="00F824FB"/>
    <w:rsid w:val="00F83189"/>
    <w:rsid w:val="00F83614"/>
    <w:rsid w:val="00F9290D"/>
    <w:rsid w:val="00F929AC"/>
    <w:rsid w:val="00F94366"/>
    <w:rsid w:val="00F94D81"/>
    <w:rsid w:val="00FA2139"/>
    <w:rsid w:val="00FA4A5B"/>
    <w:rsid w:val="00FB3A3D"/>
    <w:rsid w:val="00FB6773"/>
    <w:rsid w:val="00FC02CB"/>
    <w:rsid w:val="00FC0636"/>
    <w:rsid w:val="00FC2B73"/>
    <w:rsid w:val="00FC3BDC"/>
    <w:rsid w:val="00FC51FE"/>
    <w:rsid w:val="00FD35FD"/>
    <w:rsid w:val="00FD5EC8"/>
    <w:rsid w:val="00FE04AB"/>
    <w:rsid w:val="00FE55CD"/>
    <w:rsid w:val="00FF4C48"/>
    <w:rsid w:val="00FF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ACAE"/>
  <w14:defaultImageDpi w14:val="32767"/>
  <w15:chartTrackingRefBased/>
  <w15:docId w15:val="{DB272F8F-94BA-8249-A18A-A6400B0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Arial"/>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4383"/>
    <w:pPr>
      <w:widowControl/>
      <w:snapToGrid w:val="0"/>
      <w:spacing w:afterLines="50" w:after="211" w:line="360" w:lineRule="auto"/>
      <w:outlineLvl w:val="0"/>
    </w:pPr>
    <w:rPr>
      <w:rFonts w:ascii="宋体" w:hAnsi="宋体" w:cs="宋体"/>
      <w:b/>
      <w:lang w:val="de-DE"/>
    </w:rPr>
  </w:style>
  <w:style w:type="paragraph" w:styleId="2">
    <w:name w:val="heading 2"/>
    <w:basedOn w:val="a"/>
    <w:next w:val="a"/>
    <w:link w:val="20"/>
    <w:uiPriority w:val="9"/>
    <w:unhideWhenUsed/>
    <w:qFormat/>
    <w:rsid w:val="00054383"/>
    <w:pPr>
      <w:widowControl/>
      <w:snapToGrid w:val="0"/>
      <w:spacing w:afterLines="50" w:after="211" w:line="360" w:lineRule="auto"/>
      <w:outlineLvl w:val="1"/>
    </w:pPr>
    <w:rPr>
      <w:rFonts w:ascii="宋体" w:hAnsi="宋体"/>
      <w:b/>
      <w:bCs/>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3F7"/>
    <w:pPr>
      <w:widowControl/>
      <w:spacing w:before="100" w:beforeAutospacing="1" w:after="100" w:afterAutospacing="1"/>
      <w:jc w:val="left"/>
    </w:pPr>
    <w:rPr>
      <w:rFonts w:ascii="宋体" w:hAnsi="宋体" w:cs="宋体"/>
    </w:rPr>
  </w:style>
  <w:style w:type="paragraph" w:styleId="a4">
    <w:name w:val="Balloon Text"/>
    <w:basedOn w:val="a"/>
    <w:link w:val="a5"/>
    <w:uiPriority w:val="99"/>
    <w:semiHidden/>
    <w:unhideWhenUsed/>
    <w:rsid w:val="00197ED3"/>
    <w:rPr>
      <w:rFonts w:ascii="宋体"/>
      <w:sz w:val="18"/>
      <w:szCs w:val="18"/>
    </w:rPr>
  </w:style>
  <w:style w:type="character" w:customStyle="1" w:styleId="a5">
    <w:name w:val="批注框文本 字符"/>
    <w:basedOn w:val="a0"/>
    <w:link w:val="a4"/>
    <w:uiPriority w:val="99"/>
    <w:semiHidden/>
    <w:rsid w:val="00197ED3"/>
    <w:rPr>
      <w:rFonts w:ascii="宋体" w:eastAsia="宋体"/>
      <w:sz w:val="18"/>
      <w:szCs w:val="18"/>
    </w:rPr>
  </w:style>
  <w:style w:type="paragraph" w:styleId="a6">
    <w:name w:val="footnote text"/>
    <w:basedOn w:val="a"/>
    <w:link w:val="a7"/>
    <w:uiPriority w:val="99"/>
    <w:semiHidden/>
    <w:unhideWhenUsed/>
    <w:rsid w:val="00786877"/>
    <w:pPr>
      <w:snapToGrid w:val="0"/>
      <w:jc w:val="left"/>
    </w:pPr>
    <w:rPr>
      <w:sz w:val="18"/>
      <w:szCs w:val="18"/>
    </w:rPr>
  </w:style>
  <w:style w:type="character" w:customStyle="1" w:styleId="a7">
    <w:name w:val="脚注文本 字符"/>
    <w:basedOn w:val="a0"/>
    <w:link w:val="a6"/>
    <w:uiPriority w:val="99"/>
    <w:semiHidden/>
    <w:rsid w:val="00786877"/>
    <w:rPr>
      <w:sz w:val="18"/>
      <w:szCs w:val="18"/>
    </w:rPr>
  </w:style>
  <w:style w:type="character" w:styleId="a8">
    <w:name w:val="footnote reference"/>
    <w:basedOn w:val="a0"/>
    <w:uiPriority w:val="99"/>
    <w:semiHidden/>
    <w:unhideWhenUsed/>
    <w:rsid w:val="00786877"/>
    <w:rPr>
      <w:vertAlign w:val="superscript"/>
    </w:rPr>
  </w:style>
  <w:style w:type="character" w:styleId="a9">
    <w:name w:val="Hyperlink"/>
    <w:basedOn w:val="a0"/>
    <w:uiPriority w:val="99"/>
    <w:unhideWhenUsed/>
    <w:rsid w:val="003F4274"/>
    <w:rPr>
      <w:color w:val="0563C1" w:themeColor="hyperlink"/>
      <w:u w:val="single"/>
    </w:rPr>
  </w:style>
  <w:style w:type="character" w:customStyle="1" w:styleId="UnresolvedMention">
    <w:name w:val="Unresolved Mention"/>
    <w:basedOn w:val="a0"/>
    <w:uiPriority w:val="99"/>
    <w:rsid w:val="003F4274"/>
    <w:rPr>
      <w:color w:val="605E5C"/>
      <w:shd w:val="clear" w:color="auto" w:fill="E1DFDD"/>
    </w:rPr>
  </w:style>
  <w:style w:type="character" w:styleId="aa">
    <w:name w:val="FollowedHyperlink"/>
    <w:basedOn w:val="a0"/>
    <w:uiPriority w:val="99"/>
    <w:semiHidden/>
    <w:unhideWhenUsed/>
    <w:rsid w:val="003F4274"/>
    <w:rPr>
      <w:color w:val="954F72" w:themeColor="followedHyperlink"/>
      <w:u w:val="single"/>
    </w:rPr>
  </w:style>
  <w:style w:type="character" w:customStyle="1" w:styleId="10">
    <w:name w:val="标题 1 字符"/>
    <w:basedOn w:val="a0"/>
    <w:link w:val="1"/>
    <w:uiPriority w:val="9"/>
    <w:rsid w:val="00054383"/>
    <w:rPr>
      <w:rFonts w:ascii="宋体" w:eastAsia="宋体" w:hAnsi="宋体" w:cs="宋体"/>
      <w:b/>
      <w:kern w:val="0"/>
      <w:lang w:val="de-DE"/>
    </w:rPr>
  </w:style>
  <w:style w:type="character" w:customStyle="1" w:styleId="20">
    <w:name w:val="标题 2 字符"/>
    <w:basedOn w:val="a0"/>
    <w:link w:val="2"/>
    <w:uiPriority w:val="9"/>
    <w:rsid w:val="00054383"/>
    <w:rPr>
      <w:rFonts w:ascii="宋体" w:eastAsia="宋体" w:hAnsi="宋体" w:cs="Arial"/>
      <w:b/>
      <w:bCs/>
      <w:kern w:val="0"/>
      <w:sz w:val="22"/>
      <w:szCs w:val="22"/>
      <w:lang w:val="de-DE"/>
    </w:rPr>
  </w:style>
  <w:style w:type="character" w:styleId="ab">
    <w:name w:val="annotation reference"/>
    <w:basedOn w:val="a0"/>
    <w:uiPriority w:val="99"/>
    <w:semiHidden/>
    <w:unhideWhenUsed/>
    <w:rsid w:val="009D6CE0"/>
    <w:rPr>
      <w:sz w:val="21"/>
      <w:szCs w:val="21"/>
    </w:rPr>
  </w:style>
  <w:style w:type="paragraph" w:styleId="ac">
    <w:name w:val="annotation text"/>
    <w:basedOn w:val="a"/>
    <w:link w:val="ad"/>
    <w:uiPriority w:val="99"/>
    <w:unhideWhenUsed/>
    <w:rsid w:val="009D6CE0"/>
    <w:pPr>
      <w:jc w:val="left"/>
    </w:pPr>
  </w:style>
  <w:style w:type="character" w:customStyle="1" w:styleId="ad">
    <w:name w:val="批注文字 字符"/>
    <w:basedOn w:val="a0"/>
    <w:link w:val="ac"/>
    <w:uiPriority w:val="99"/>
    <w:rsid w:val="009D6CE0"/>
  </w:style>
  <w:style w:type="paragraph" w:styleId="ae">
    <w:name w:val="annotation subject"/>
    <w:basedOn w:val="ac"/>
    <w:next w:val="ac"/>
    <w:link w:val="af"/>
    <w:uiPriority w:val="99"/>
    <w:semiHidden/>
    <w:unhideWhenUsed/>
    <w:rsid w:val="009D6CE0"/>
    <w:rPr>
      <w:b/>
      <w:bCs/>
    </w:rPr>
  </w:style>
  <w:style w:type="character" w:customStyle="1" w:styleId="af">
    <w:name w:val="批注主题 字符"/>
    <w:basedOn w:val="ad"/>
    <w:link w:val="ae"/>
    <w:uiPriority w:val="99"/>
    <w:semiHidden/>
    <w:rsid w:val="009D6CE0"/>
    <w:rPr>
      <w:b/>
      <w:bCs/>
    </w:rPr>
  </w:style>
  <w:style w:type="paragraph" w:styleId="af0">
    <w:name w:val="header"/>
    <w:basedOn w:val="a"/>
    <w:link w:val="af1"/>
    <w:uiPriority w:val="99"/>
    <w:unhideWhenUsed/>
    <w:rsid w:val="005B7270"/>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5B7270"/>
    <w:rPr>
      <w:sz w:val="18"/>
      <w:szCs w:val="18"/>
    </w:rPr>
  </w:style>
  <w:style w:type="paragraph" w:styleId="af2">
    <w:name w:val="footer"/>
    <w:basedOn w:val="a"/>
    <w:link w:val="af3"/>
    <w:uiPriority w:val="99"/>
    <w:unhideWhenUsed/>
    <w:rsid w:val="005B7270"/>
    <w:pPr>
      <w:tabs>
        <w:tab w:val="center" w:pos="4153"/>
        <w:tab w:val="right" w:pos="8306"/>
      </w:tabs>
      <w:snapToGrid w:val="0"/>
      <w:jc w:val="left"/>
    </w:pPr>
    <w:rPr>
      <w:sz w:val="18"/>
      <w:szCs w:val="18"/>
    </w:rPr>
  </w:style>
  <w:style w:type="character" w:customStyle="1" w:styleId="af3">
    <w:name w:val="页脚 字符"/>
    <w:basedOn w:val="a0"/>
    <w:link w:val="af2"/>
    <w:uiPriority w:val="99"/>
    <w:rsid w:val="005B7270"/>
    <w:rPr>
      <w:sz w:val="18"/>
      <w:szCs w:val="18"/>
    </w:rPr>
  </w:style>
  <w:style w:type="paragraph" w:styleId="af4">
    <w:name w:val="Revision"/>
    <w:hidden/>
    <w:uiPriority w:val="99"/>
    <w:semiHidden/>
    <w:rsid w:val="007971D1"/>
  </w:style>
  <w:style w:type="paragraph" w:styleId="TOC">
    <w:name w:val="TOC Heading"/>
    <w:basedOn w:val="1"/>
    <w:next w:val="a"/>
    <w:uiPriority w:val="39"/>
    <w:unhideWhenUsed/>
    <w:qFormat/>
    <w:rsid w:val="00241084"/>
    <w:pPr>
      <w:keepNext/>
      <w:keepLines/>
      <w:snapToGrid/>
      <w:spacing w:before="480" w:afterLines="0" w:after="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styleId="11">
    <w:name w:val="toc 1"/>
    <w:basedOn w:val="a"/>
    <w:next w:val="a"/>
    <w:autoRedefine/>
    <w:uiPriority w:val="39"/>
    <w:unhideWhenUsed/>
    <w:rsid w:val="00241084"/>
    <w:pPr>
      <w:spacing w:before="120" w:after="120"/>
      <w:jc w:val="left"/>
    </w:pPr>
    <w:rPr>
      <w:rFonts w:eastAsiaTheme="minorHAnsi"/>
      <w:b/>
      <w:bCs/>
      <w:caps/>
      <w:sz w:val="20"/>
      <w:szCs w:val="20"/>
    </w:rPr>
  </w:style>
  <w:style w:type="paragraph" w:styleId="21">
    <w:name w:val="toc 2"/>
    <w:basedOn w:val="a"/>
    <w:next w:val="a"/>
    <w:autoRedefine/>
    <w:uiPriority w:val="39"/>
    <w:unhideWhenUsed/>
    <w:rsid w:val="00241084"/>
    <w:pPr>
      <w:ind w:left="240"/>
      <w:jc w:val="left"/>
    </w:pPr>
    <w:rPr>
      <w:rFonts w:eastAsiaTheme="minorHAnsi"/>
      <w:smallCaps/>
      <w:sz w:val="20"/>
      <w:szCs w:val="20"/>
    </w:rPr>
  </w:style>
  <w:style w:type="paragraph" w:styleId="3">
    <w:name w:val="toc 3"/>
    <w:basedOn w:val="a"/>
    <w:next w:val="a"/>
    <w:autoRedefine/>
    <w:uiPriority w:val="39"/>
    <w:unhideWhenUsed/>
    <w:rsid w:val="00241084"/>
    <w:pPr>
      <w:ind w:left="480"/>
      <w:jc w:val="left"/>
    </w:pPr>
    <w:rPr>
      <w:rFonts w:eastAsiaTheme="minorHAnsi"/>
      <w:i/>
      <w:iCs/>
      <w:sz w:val="20"/>
      <w:szCs w:val="20"/>
    </w:rPr>
  </w:style>
  <w:style w:type="paragraph" w:styleId="4">
    <w:name w:val="toc 4"/>
    <w:basedOn w:val="a"/>
    <w:next w:val="a"/>
    <w:autoRedefine/>
    <w:uiPriority w:val="39"/>
    <w:unhideWhenUsed/>
    <w:rsid w:val="00241084"/>
    <w:pPr>
      <w:ind w:left="720"/>
      <w:jc w:val="left"/>
    </w:pPr>
    <w:rPr>
      <w:rFonts w:eastAsiaTheme="minorHAnsi"/>
      <w:sz w:val="18"/>
      <w:szCs w:val="18"/>
    </w:rPr>
  </w:style>
  <w:style w:type="paragraph" w:styleId="5">
    <w:name w:val="toc 5"/>
    <w:basedOn w:val="a"/>
    <w:next w:val="a"/>
    <w:autoRedefine/>
    <w:uiPriority w:val="39"/>
    <w:unhideWhenUsed/>
    <w:rsid w:val="00241084"/>
    <w:pPr>
      <w:ind w:left="960"/>
      <w:jc w:val="left"/>
    </w:pPr>
    <w:rPr>
      <w:rFonts w:eastAsiaTheme="minorHAnsi"/>
      <w:sz w:val="18"/>
      <w:szCs w:val="18"/>
    </w:rPr>
  </w:style>
  <w:style w:type="paragraph" w:styleId="6">
    <w:name w:val="toc 6"/>
    <w:basedOn w:val="a"/>
    <w:next w:val="a"/>
    <w:autoRedefine/>
    <w:uiPriority w:val="39"/>
    <w:unhideWhenUsed/>
    <w:rsid w:val="00241084"/>
    <w:pPr>
      <w:ind w:left="1200"/>
      <w:jc w:val="left"/>
    </w:pPr>
    <w:rPr>
      <w:rFonts w:eastAsiaTheme="minorHAnsi"/>
      <w:sz w:val="18"/>
      <w:szCs w:val="18"/>
    </w:rPr>
  </w:style>
  <w:style w:type="paragraph" w:styleId="7">
    <w:name w:val="toc 7"/>
    <w:basedOn w:val="a"/>
    <w:next w:val="a"/>
    <w:autoRedefine/>
    <w:uiPriority w:val="39"/>
    <w:unhideWhenUsed/>
    <w:rsid w:val="00241084"/>
    <w:pPr>
      <w:ind w:left="1440"/>
      <w:jc w:val="left"/>
    </w:pPr>
    <w:rPr>
      <w:rFonts w:eastAsiaTheme="minorHAnsi"/>
      <w:sz w:val="18"/>
      <w:szCs w:val="18"/>
    </w:rPr>
  </w:style>
  <w:style w:type="paragraph" w:styleId="8">
    <w:name w:val="toc 8"/>
    <w:basedOn w:val="a"/>
    <w:next w:val="a"/>
    <w:autoRedefine/>
    <w:uiPriority w:val="39"/>
    <w:unhideWhenUsed/>
    <w:rsid w:val="00241084"/>
    <w:pPr>
      <w:ind w:left="1680"/>
      <w:jc w:val="left"/>
    </w:pPr>
    <w:rPr>
      <w:rFonts w:eastAsiaTheme="minorHAnsi"/>
      <w:sz w:val="18"/>
      <w:szCs w:val="18"/>
    </w:rPr>
  </w:style>
  <w:style w:type="paragraph" w:styleId="9">
    <w:name w:val="toc 9"/>
    <w:basedOn w:val="a"/>
    <w:next w:val="a"/>
    <w:autoRedefine/>
    <w:uiPriority w:val="39"/>
    <w:unhideWhenUsed/>
    <w:rsid w:val="00241084"/>
    <w:pPr>
      <w:ind w:left="192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19085">
      <w:bodyDiv w:val="1"/>
      <w:marLeft w:val="0"/>
      <w:marRight w:val="0"/>
      <w:marTop w:val="0"/>
      <w:marBottom w:val="0"/>
      <w:divBdr>
        <w:top w:val="none" w:sz="0" w:space="0" w:color="auto"/>
        <w:left w:val="none" w:sz="0" w:space="0" w:color="auto"/>
        <w:bottom w:val="none" w:sz="0" w:space="0" w:color="auto"/>
        <w:right w:val="none" w:sz="0" w:space="0" w:color="auto"/>
      </w:divBdr>
      <w:divsChild>
        <w:div w:id="119568922">
          <w:marLeft w:val="0"/>
          <w:marRight w:val="0"/>
          <w:marTop w:val="0"/>
          <w:marBottom w:val="0"/>
          <w:divBdr>
            <w:top w:val="none" w:sz="0" w:space="0" w:color="auto"/>
            <w:left w:val="none" w:sz="0" w:space="0" w:color="auto"/>
            <w:bottom w:val="none" w:sz="0" w:space="0" w:color="auto"/>
            <w:right w:val="none" w:sz="0" w:space="0" w:color="auto"/>
          </w:divBdr>
          <w:divsChild>
            <w:div w:id="1414014465">
              <w:marLeft w:val="0"/>
              <w:marRight w:val="0"/>
              <w:marTop w:val="0"/>
              <w:marBottom w:val="0"/>
              <w:divBdr>
                <w:top w:val="none" w:sz="0" w:space="0" w:color="auto"/>
                <w:left w:val="none" w:sz="0" w:space="0" w:color="auto"/>
                <w:bottom w:val="none" w:sz="0" w:space="0" w:color="auto"/>
                <w:right w:val="none" w:sz="0" w:space="0" w:color="auto"/>
              </w:divBdr>
              <w:divsChild>
                <w:div w:id="1163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882">
          <w:marLeft w:val="0"/>
          <w:marRight w:val="0"/>
          <w:marTop w:val="0"/>
          <w:marBottom w:val="0"/>
          <w:divBdr>
            <w:top w:val="none" w:sz="0" w:space="0" w:color="auto"/>
            <w:left w:val="none" w:sz="0" w:space="0" w:color="auto"/>
            <w:bottom w:val="none" w:sz="0" w:space="0" w:color="auto"/>
            <w:right w:val="none" w:sz="0" w:space="0" w:color="auto"/>
          </w:divBdr>
          <w:divsChild>
            <w:div w:id="1788815152">
              <w:marLeft w:val="0"/>
              <w:marRight w:val="0"/>
              <w:marTop w:val="0"/>
              <w:marBottom w:val="0"/>
              <w:divBdr>
                <w:top w:val="none" w:sz="0" w:space="0" w:color="auto"/>
                <w:left w:val="none" w:sz="0" w:space="0" w:color="auto"/>
                <w:bottom w:val="none" w:sz="0" w:space="0" w:color="auto"/>
                <w:right w:val="none" w:sz="0" w:space="0" w:color="auto"/>
              </w:divBdr>
              <w:divsChild>
                <w:div w:id="1735273271">
                  <w:marLeft w:val="0"/>
                  <w:marRight w:val="0"/>
                  <w:marTop w:val="0"/>
                  <w:marBottom w:val="0"/>
                  <w:divBdr>
                    <w:top w:val="none" w:sz="0" w:space="0" w:color="auto"/>
                    <w:left w:val="none" w:sz="0" w:space="0" w:color="auto"/>
                    <w:bottom w:val="none" w:sz="0" w:space="0" w:color="auto"/>
                    <w:right w:val="none" w:sz="0" w:space="0" w:color="auto"/>
                  </w:divBdr>
                </w:div>
              </w:divsChild>
            </w:div>
            <w:div w:id="32509554">
              <w:marLeft w:val="0"/>
              <w:marRight w:val="0"/>
              <w:marTop w:val="0"/>
              <w:marBottom w:val="0"/>
              <w:divBdr>
                <w:top w:val="none" w:sz="0" w:space="0" w:color="auto"/>
                <w:left w:val="none" w:sz="0" w:space="0" w:color="auto"/>
                <w:bottom w:val="none" w:sz="0" w:space="0" w:color="auto"/>
                <w:right w:val="none" w:sz="0" w:space="0" w:color="auto"/>
              </w:divBdr>
              <w:divsChild>
                <w:div w:id="2090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7170">
          <w:marLeft w:val="0"/>
          <w:marRight w:val="0"/>
          <w:marTop w:val="0"/>
          <w:marBottom w:val="0"/>
          <w:divBdr>
            <w:top w:val="none" w:sz="0" w:space="0" w:color="auto"/>
            <w:left w:val="none" w:sz="0" w:space="0" w:color="auto"/>
            <w:bottom w:val="none" w:sz="0" w:space="0" w:color="auto"/>
            <w:right w:val="none" w:sz="0" w:space="0" w:color="auto"/>
          </w:divBdr>
          <w:divsChild>
            <w:div w:id="1454328318">
              <w:marLeft w:val="0"/>
              <w:marRight w:val="0"/>
              <w:marTop w:val="0"/>
              <w:marBottom w:val="0"/>
              <w:divBdr>
                <w:top w:val="none" w:sz="0" w:space="0" w:color="auto"/>
                <w:left w:val="none" w:sz="0" w:space="0" w:color="auto"/>
                <w:bottom w:val="none" w:sz="0" w:space="0" w:color="auto"/>
                <w:right w:val="none" w:sz="0" w:space="0" w:color="auto"/>
              </w:divBdr>
              <w:divsChild>
                <w:div w:id="169222949">
                  <w:marLeft w:val="0"/>
                  <w:marRight w:val="0"/>
                  <w:marTop w:val="0"/>
                  <w:marBottom w:val="0"/>
                  <w:divBdr>
                    <w:top w:val="none" w:sz="0" w:space="0" w:color="auto"/>
                    <w:left w:val="none" w:sz="0" w:space="0" w:color="auto"/>
                    <w:bottom w:val="none" w:sz="0" w:space="0" w:color="auto"/>
                    <w:right w:val="none" w:sz="0" w:space="0" w:color="auto"/>
                  </w:divBdr>
                </w:div>
              </w:divsChild>
            </w:div>
            <w:div w:id="1913274026">
              <w:marLeft w:val="0"/>
              <w:marRight w:val="0"/>
              <w:marTop w:val="0"/>
              <w:marBottom w:val="0"/>
              <w:divBdr>
                <w:top w:val="none" w:sz="0" w:space="0" w:color="auto"/>
                <w:left w:val="none" w:sz="0" w:space="0" w:color="auto"/>
                <w:bottom w:val="none" w:sz="0" w:space="0" w:color="auto"/>
                <w:right w:val="none" w:sz="0" w:space="0" w:color="auto"/>
              </w:divBdr>
              <w:divsChild>
                <w:div w:id="9919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118">
          <w:marLeft w:val="0"/>
          <w:marRight w:val="0"/>
          <w:marTop w:val="0"/>
          <w:marBottom w:val="0"/>
          <w:divBdr>
            <w:top w:val="none" w:sz="0" w:space="0" w:color="auto"/>
            <w:left w:val="none" w:sz="0" w:space="0" w:color="auto"/>
            <w:bottom w:val="none" w:sz="0" w:space="0" w:color="auto"/>
            <w:right w:val="none" w:sz="0" w:space="0" w:color="auto"/>
          </w:divBdr>
          <w:divsChild>
            <w:div w:id="1722173899">
              <w:marLeft w:val="0"/>
              <w:marRight w:val="0"/>
              <w:marTop w:val="0"/>
              <w:marBottom w:val="0"/>
              <w:divBdr>
                <w:top w:val="none" w:sz="0" w:space="0" w:color="auto"/>
                <w:left w:val="none" w:sz="0" w:space="0" w:color="auto"/>
                <w:bottom w:val="none" w:sz="0" w:space="0" w:color="auto"/>
                <w:right w:val="none" w:sz="0" w:space="0" w:color="auto"/>
              </w:divBdr>
              <w:divsChild>
                <w:div w:id="624655304">
                  <w:marLeft w:val="0"/>
                  <w:marRight w:val="0"/>
                  <w:marTop w:val="0"/>
                  <w:marBottom w:val="0"/>
                  <w:divBdr>
                    <w:top w:val="none" w:sz="0" w:space="0" w:color="auto"/>
                    <w:left w:val="none" w:sz="0" w:space="0" w:color="auto"/>
                    <w:bottom w:val="none" w:sz="0" w:space="0" w:color="auto"/>
                    <w:right w:val="none" w:sz="0" w:space="0" w:color="auto"/>
                  </w:divBdr>
                </w:div>
              </w:divsChild>
            </w:div>
            <w:div w:id="1744335585">
              <w:marLeft w:val="0"/>
              <w:marRight w:val="0"/>
              <w:marTop w:val="0"/>
              <w:marBottom w:val="0"/>
              <w:divBdr>
                <w:top w:val="none" w:sz="0" w:space="0" w:color="auto"/>
                <w:left w:val="none" w:sz="0" w:space="0" w:color="auto"/>
                <w:bottom w:val="none" w:sz="0" w:space="0" w:color="auto"/>
                <w:right w:val="none" w:sz="0" w:space="0" w:color="auto"/>
              </w:divBdr>
              <w:divsChild>
                <w:div w:id="410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8442">
          <w:marLeft w:val="0"/>
          <w:marRight w:val="0"/>
          <w:marTop w:val="0"/>
          <w:marBottom w:val="0"/>
          <w:divBdr>
            <w:top w:val="none" w:sz="0" w:space="0" w:color="auto"/>
            <w:left w:val="none" w:sz="0" w:space="0" w:color="auto"/>
            <w:bottom w:val="none" w:sz="0" w:space="0" w:color="auto"/>
            <w:right w:val="none" w:sz="0" w:space="0" w:color="auto"/>
          </w:divBdr>
          <w:divsChild>
            <w:div w:id="171914092">
              <w:marLeft w:val="0"/>
              <w:marRight w:val="0"/>
              <w:marTop w:val="0"/>
              <w:marBottom w:val="0"/>
              <w:divBdr>
                <w:top w:val="none" w:sz="0" w:space="0" w:color="auto"/>
                <w:left w:val="none" w:sz="0" w:space="0" w:color="auto"/>
                <w:bottom w:val="none" w:sz="0" w:space="0" w:color="auto"/>
                <w:right w:val="none" w:sz="0" w:space="0" w:color="auto"/>
              </w:divBdr>
              <w:divsChild>
                <w:div w:id="1791240065">
                  <w:marLeft w:val="0"/>
                  <w:marRight w:val="0"/>
                  <w:marTop w:val="0"/>
                  <w:marBottom w:val="0"/>
                  <w:divBdr>
                    <w:top w:val="none" w:sz="0" w:space="0" w:color="auto"/>
                    <w:left w:val="none" w:sz="0" w:space="0" w:color="auto"/>
                    <w:bottom w:val="none" w:sz="0" w:space="0" w:color="auto"/>
                    <w:right w:val="none" w:sz="0" w:space="0" w:color="auto"/>
                  </w:divBdr>
                </w:div>
              </w:divsChild>
            </w:div>
            <w:div w:id="364336037">
              <w:marLeft w:val="0"/>
              <w:marRight w:val="0"/>
              <w:marTop w:val="0"/>
              <w:marBottom w:val="0"/>
              <w:divBdr>
                <w:top w:val="none" w:sz="0" w:space="0" w:color="auto"/>
                <w:left w:val="none" w:sz="0" w:space="0" w:color="auto"/>
                <w:bottom w:val="none" w:sz="0" w:space="0" w:color="auto"/>
                <w:right w:val="none" w:sz="0" w:space="0" w:color="auto"/>
              </w:divBdr>
              <w:divsChild>
                <w:div w:id="11630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3940">
      <w:bodyDiv w:val="1"/>
      <w:marLeft w:val="0"/>
      <w:marRight w:val="0"/>
      <w:marTop w:val="0"/>
      <w:marBottom w:val="0"/>
      <w:divBdr>
        <w:top w:val="none" w:sz="0" w:space="0" w:color="auto"/>
        <w:left w:val="none" w:sz="0" w:space="0" w:color="auto"/>
        <w:bottom w:val="none" w:sz="0" w:space="0" w:color="auto"/>
        <w:right w:val="none" w:sz="0" w:space="0" w:color="auto"/>
      </w:divBdr>
      <w:divsChild>
        <w:div w:id="415595198">
          <w:marLeft w:val="0"/>
          <w:marRight w:val="0"/>
          <w:marTop w:val="0"/>
          <w:marBottom w:val="0"/>
          <w:divBdr>
            <w:top w:val="none" w:sz="0" w:space="0" w:color="auto"/>
            <w:left w:val="none" w:sz="0" w:space="0" w:color="auto"/>
            <w:bottom w:val="none" w:sz="0" w:space="0" w:color="auto"/>
            <w:right w:val="none" w:sz="0" w:space="0" w:color="auto"/>
          </w:divBdr>
          <w:divsChild>
            <w:div w:id="1358699826">
              <w:marLeft w:val="0"/>
              <w:marRight w:val="0"/>
              <w:marTop w:val="0"/>
              <w:marBottom w:val="0"/>
              <w:divBdr>
                <w:top w:val="none" w:sz="0" w:space="0" w:color="auto"/>
                <w:left w:val="none" w:sz="0" w:space="0" w:color="auto"/>
                <w:bottom w:val="none" w:sz="0" w:space="0" w:color="auto"/>
                <w:right w:val="none" w:sz="0" w:space="0" w:color="auto"/>
              </w:divBdr>
              <w:divsChild>
                <w:div w:id="1716734840">
                  <w:marLeft w:val="0"/>
                  <w:marRight w:val="0"/>
                  <w:marTop w:val="0"/>
                  <w:marBottom w:val="0"/>
                  <w:divBdr>
                    <w:top w:val="none" w:sz="0" w:space="0" w:color="auto"/>
                    <w:left w:val="none" w:sz="0" w:space="0" w:color="auto"/>
                    <w:bottom w:val="none" w:sz="0" w:space="0" w:color="auto"/>
                    <w:right w:val="none" w:sz="0" w:space="0" w:color="auto"/>
                  </w:divBdr>
                  <w:divsChild>
                    <w:div w:id="13011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z.bayern.de/media/images/behoerden-und-gerichte/landgerichte/muenchen1/guidelines_on_confidentiality_protection__stand_febr_2020_.pdf" TargetMode="External"/><Relationship Id="rId1" Type="http://schemas.openxmlformats.org/officeDocument/2006/relationships/hyperlink" Target="https://www.justiz.bayern.de/media/images/behoerden-und-gerichte/landgerichte/muenchen1/hinweise_geheimhaltung__stand_februar_2020_.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7DB9-BBE1-407F-B1C0-AB8B69AF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Lizhou</dc:creator>
  <cp:keywords/>
  <dc:description/>
  <cp:lastModifiedBy>Zhe, Lu</cp:lastModifiedBy>
  <cp:revision>3</cp:revision>
  <dcterms:created xsi:type="dcterms:W3CDTF">2020-02-25T03:40:00Z</dcterms:created>
  <dcterms:modified xsi:type="dcterms:W3CDTF">2020-02-25T03:40:00Z</dcterms:modified>
</cp:coreProperties>
</file>